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1A24D47B">
        <w:tc>
          <w:tcPr>
            <w:tcW w:w="5027" w:type="dxa"/>
          </w:tcPr>
          <w:p w14:paraId="2E7D4262" w14:textId="76D44B7C" w:rsidR="00B70B86" w:rsidRDefault="00B70B86" w:rsidP="005840E8">
            <w:pPr>
              <w:rPr>
                <w:rFonts w:ascii="Lexend" w:hAnsi="Lexend" w:cstheme="minorHAnsi"/>
                <w:b/>
                <w:color w:val="1739E5"/>
                <w:szCs w:val="24"/>
              </w:rPr>
            </w:pPr>
            <w:r w:rsidRPr="2DCF7B68">
              <w:rPr>
                <w:rFonts w:ascii="Lexend" w:hAnsi="Lexend" w:cstheme="minorBidi"/>
                <w:b/>
                <w:bCs/>
                <w:color w:val="1739E5"/>
              </w:rPr>
              <w:t>Rol</w:t>
            </w:r>
            <w:r w:rsidR="0026596A" w:rsidRPr="2DCF7B68">
              <w:rPr>
                <w:rFonts w:ascii="Lexend" w:hAnsi="Lexend" w:cstheme="minorBidi"/>
                <w:b/>
                <w:bCs/>
                <w:color w:val="1739E5"/>
              </w:rPr>
              <w:t>e</w:t>
            </w:r>
          </w:p>
          <w:p w14:paraId="7D188952" w14:textId="00AF30A9" w:rsidR="00B70B86" w:rsidRPr="001B7D32" w:rsidRDefault="15A914BF" w:rsidP="2DCF7B68">
            <w:pPr>
              <w:spacing w:line="259" w:lineRule="auto"/>
            </w:pPr>
            <w:r w:rsidRPr="2DCF7B68">
              <w:rPr>
                <w:rFonts w:ascii="Lexend" w:hAnsi="Lexend" w:cstheme="minorBidi"/>
                <w:sz w:val="22"/>
                <w:szCs w:val="22"/>
              </w:rPr>
              <w:t>Senior Pricing Analyst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FB41F61"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1A24D47B">
        <w:tc>
          <w:tcPr>
            <w:tcW w:w="5027" w:type="dxa"/>
          </w:tcPr>
          <w:p w14:paraId="575F9902" w14:textId="3EB0D971" w:rsidR="000C5808" w:rsidRDefault="006159EA" w:rsidP="000C5808">
            <w:pPr>
              <w:rPr>
                <w:rFonts w:ascii="Lexend" w:hAnsi="Lexend" w:cstheme="minorHAnsi"/>
                <w:b/>
                <w:color w:val="1739E5"/>
              </w:rPr>
            </w:pPr>
            <w:r>
              <w:rPr>
                <w:rFonts w:ascii="Lexend" w:hAnsi="Lexend" w:cstheme="minorHAnsi"/>
                <w:b/>
                <w:color w:val="1739E5"/>
              </w:rPr>
              <w:t>Level</w:t>
            </w:r>
          </w:p>
          <w:p w14:paraId="12EDAC6A" w14:textId="2E228D1C" w:rsidR="006159EA" w:rsidRPr="006159EA" w:rsidRDefault="283FF72F" w:rsidP="50357FCF">
            <w:pPr>
              <w:rPr>
                <w:rFonts w:ascii="Lexend" w:hAnsi="Lexend" w:cstheme="minorBidi"/>
                <w:sz w:val="22"/>
                <w:szCs w:val="22"/>
              </w:rPr>
            </w:pPr>
            <w:r w:rsidRPr="00194076">
              <w:rPr>
                <w:rFonts w:ascii="Lexend" w:hAnsi="Lexend" w:cstheme="minorBidi"/>
                <w:sz w:val="22"/>
                <w:szCs w:val="22"/>
              </w:rPr>
              <w:t>Senior Expert</w:t>
            </w:r>
            <w:r w:rsidR="49703312" w:rsidRPr="00194076">
              <w:rPr>
                <w:rFonts w:ascii="Lexend" w:hAnsi="Lexend" w:cstheme="minorBidi"/>
                <w:sz w:val="22"/>
                <w:szCs w:val="22"/>
              </w:rPr>
              <w:t xml:space="preserve"> (individual track)</w:t>
            </w:r>
          </w:p>
          <w:p w14:paraId="7ABF6374" w14:textId="6A02224B" w:rsidR="0023680C" w:rsidRPr="001B7D32" w:rsidRDefault="0023680C" w:rsidP="005840E8">
            <w:pPr>
              <w:rPr>
                <w:rFonts w:ascii="Lexend" w:hAnsi="Lexend"/>
                <w:color w:val="000000" w:themeColor="text1"/>
                <w:sz w:val="20"/>
                <w:szCs w:val="18"/>
              </w:rPr>
            </w:pP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200AF37" w14:textId="7DD99879" w:rsidR="006159EA" w:rsidRPr="006159EA" w:rsidRDefault="008C5990" w:rsidP="006159EA">
            <w:pPr>
              <w:rPr>
                <w:rFonts w:ascii="Lexend" w:hAnsi="Lexend" w:cstheme="minorHAnsi"/>
                <w:bCs/>
                <w:sz w:val="22"/>
                <w:szCs w:val="18"/>
              </w:rPr>
            </w:pPr>
            <w:r>
              <w:rPr>
                <w:rFonts w:ascii="Lexend" w:hAnsi="Lexend" w:cstheme="minorHAnsi"/>
                <w:bCs/>
                <w:sz w:val="22"/>
                <w:szCs w:val="18"/>
              </w:rPr>
              <w:t xml:space="preserve">Competitive </w:t>
            </w:r>
          </w:p>
          <w:p w14:paraId="7D42A25F" w14:textId="0DFFA6CE"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1A24D47B">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02C945FF" w14:textId="77777777" w:rsidR="008C5990" w:rsidRPr="008C2EEB" w:rsidRDefault="008C5990" w:rsidP="008D6B44">
            <w:pPr>
              <w:rPr>
                <w:rFonts w:ascii="Lexend" w:hAnsi="Lexend"/>
                <w:b/>
                <w:color w:val="1739E5"/>
                <w:szCs w:val="24"/>
              </w:rPr>
            </w:pPr>
          </w:p>
          <w:p w14:paraId="0DA61EF2" w14:textId="2D991685" w:rsidR="0034349A" w:rsidRPr="00677036" w:rsidRDefault="3DB9A768" w:rsidP="008C5990">
            <w:pPr>
              <w:jc w:val="both"/>
              <w:rPr>
                <w:rFonts w:ascii="Lexend" w:hAnsi="Lexend" w:cstheme="minorBidi"/>
                <w:sz w:val="22"/>
                <w:szCs w:val="22"/>
              </w:rPr>
            </w:pPr>
            <w:r w:rsidRPr="2DCF7B68">
              <w:rPr>
                <w:rFonts w:ascii="Lexend" w:hAnsi="Lexend" w:cstheme="minorBidi"/>
                <w:sz w:val="22"/>
                <w:szCs w:val="22"/>
              </w:rPr>
              <w:t xml:space="preserve">Reporting to the Pricing Manager, the Senior Pricing Analyst is responsible for being the subject expert on pricing, performance, and opportunities across a portfolio of products. The role is key to ensuring that Pricing decisions reflect the changing dynamics within the industry and economy to ensure that changes to the future landscape are considerations in our longer-term pricing approach. With a strong focus on delivering sustainable, affordable customer pricing across a range of vehicles by balancing the needs of customers, manufacturers, and our own business objectives. </w:t>
            </w:r>
            <w:r w:rsidR="2FF2C5F3" w:rsidRPr="2DCF7B68">
              <w:rPr>
                <w:rFonts w:ascii="Lexend" w:hAnsi="Lexend" w:cstheme="minorBidi"/>
                <w:sz w:val="22"/>
                <w:szCs w:val="22"/>
              </w:rPr>
              <w:t>The role will also support the delivery of the strategic pricing outlook and volume forecasting.</w:t>
            </w:r>
          </w:p>
          <w:p w14:paraId="64665924" w14:textId="4DB08FD1" w:rsidR="2DCF7B68" w:rsidRDefault="2DCF7B68" w:rsidP="2DCF7B68">
            <w:pPr>
              <w:rPr>
                <w:rFonts w:ascii="Lexend" w:hAnsi="Lexend" w:cstheme="minorBidi"/>
                <w:sz w:val="22"/>
                <w:szCs w:val="22"/>
              </w:rPr>
            </w:pPr>
          </w:p>
          <w:p w14:paraId="38FDD67F" w14:textId="1D283A5F" w:rsidR="0034349A" w:rsidRDefault="0034349A" w:rsidP="5152A934">
            <w:pPr>
              <w:rPr>
                <w:rFonts w:ascii="Lexend" w:hAnsi="Lexend" w:cstheme="minorBidi"/>
                <w:sz w:val="22"/>
                <w:szCs w:val="22"/>
              </w:rPr>
            </w:pPr>
            <w:bookmarkStart w:id="0" w:name="_Hlk49419939"/>
            <w:r w:rsidRPr="00194076">
              <w:rPr>
                <w:rFonts w:ascii="Lexend" w:hAnsi="Lexend" w:cstheme="minorBidi"/>
                <w:sz w:val="22"/>
                <w:szCs w:val="22"/>
              </w:rPr>
              <w:t xml:space="preserve">Working as part of the Asset Risk </w:t>
            </w:r>
            <w:r w:rsidR="261F8455" w:rsidRPr="00194076">
              <w:rPr>
                <w:rFonts w:ascii="Lexend" w:hAnsi="Lexend" w:cstheme="minorBidi"/>
                <w:sz w:val="22"/>
                <w:szCs w:val="22"/>
              </w:rPr>
              <w:t>Division</w:t>
            </w:r>
            <w:r w:rsidRPr="00194076">
              <w:rPr>
                <w:rFonts w:ascii="Lexend" w:hAnsi="Lexend" w:cstheme="minorBidi"/>
                <w:sz w:val="22"/>
                <w:szCs w:val="22"/>
              </w:rPr>
              <w:t xml:space="preserve">, you will report to the </w:t>
            </w:r>
            <w:r w:rsidR="2C4AB1C7" w:rsidRPr="00194076">
              <w:rPr>
                <w:rFonts w:ascii="Lexend" w:hAnsi="Lexend" w:cstheme="minorBidi"/>
                <w:sz w:val="22"/>
                <w:szCs w:val="22"/>
              </w:rPr>
              <w:t>Pricing Manager</w:t>
            </w:r>
            <w:r w:rsidRPr="00194076">
              <w:rPr>
                <w:rFonts w:ascii="Lexend" w:hAnsi="Lexend" w:cstheme="minorBidi"/>
                <w:sz w:val="22"/>
                <w:szCs w:val="22"/>
              </w:rPr>
              <w:t xml:space="preserve"> with the following responsibilities.</w:t>
            </w:r>
          </w:p>
          <w:p w14:paraId="4E94D596" w14:textId="77777777" w:rsidR="008C5990" w:rsidRDefault="008C5990" w:rsidP="5152A934">
            <w:pPr>
              <w:rPr>
                <w:rFonts w:ascii="Lexend" w:hAnsi="Lexend" w:cstheme="minorBidi"/>
                <w:sz w:val="22"/>
                <w:szCs w:val="22"/>
              </w:rPr>
            </w:pPr>
          </w:p>
          <w:bookmarkEnd w:id="0"/>
          <w:p w14:paraId="280A6A9E" w14:textId="18532A91" w:rsidR="00F42BF4" w:rsidRDefault="54FFCA8D" w:rsidP="2DCF7B68">
            <w:pPr>
              <w:pStyle w:val="ListParagraph"/>
              <w:numPr>
                <w:ilvl w:val="0"/>
                <w:numId w:val="41"/>
              </w:numPr>
              <w:rPr>
                <w:rFonts w:ascii="Lexend" w:eastAsia="Lexend" w:hAnsi="Lexend" w:cs="Lexend"/>
                <w:color w:val="000000" w:themeColor="text1"/>
                <w:sz w:val="22"/>
                <w:szCs w:val="22"/>
              </w:rPr>
            </w:pPr>
            <w:r w:rsidRPr="2DCF7B68">
              <w:rPr>
                <w:rFonts w:ascii="Lexend" w:eastAsia="Lexend" w:hAnsi="Lexend" w:cs="Lexend"/>
                <w:color w:val="000000" w:themeColor="text1"/>
                <w:sz w:val="22"/>
                <w:szCs w:val="22"/>
              </w:rPr>
              <w:t xml:space="preserve">Ownership and subject expert for set model sectors e.g. Mini, MPV, Crossovers, Wheelchair Accessible Vehicles etc </w:t>
            </w:r>
          </w:p>
          <w:p w14:paraId="56C103C5" w14:textId="46DA2101" w:rsidR="00F42BF4" w:rsidRDefault="2463512B" w:rsidP="5152A934">
            <w:pPr>
              <w:pStyle w:val="ListParagraph"/>
              <w:numPr>
                <w:ilvl w:val="0"/>
                <w:numId w:val="41"/>
              </w:numPr>
              <w:rPr>
                <w:rFonts w:ascii="Lexend" w:hAnsi="Lexend" w:cstheme="minorBidi"/>
                <w:sz w:val="22"/>
                <w:szCs w:val="22"/>
              </w:rPr>
            </w:pPr>
            <w:r w:rsidRPr="00194076">
              <w:rPr>
                <w:rFonts w:ascii="Lexend" w:eastAsia="Lexend" w:hAnsi="Lexend" w:cs="Lexend"/>
                <w:color w:val="000000" w:themeColor="text1"/>
                <w:sz w:val="22"/>
                <w:szCs w:val="22"/>
              </w:rPr>
              <w:t xml:space="preserve">Support the setting &amp; delivery of the Asset Risk strategy in alignment with the needs of the wider business strategy </w:t>
            </w:r>
            <w:r w:rsidRPr="00194076">
              <w:t xml:space="preserve"> </w:t>
            </w:r>
          </w:p>
          <w:p w14:paraId="598F2F64" w14:textId="3B91DB23" w:rsidR="13169A3F" w:rsidRDefault="19950F3A" w:rsidP="00194076">
            <w:pPr>
              <w:pStyle w:val="ListParagraph"/>
              <w:numPr>
                <w:ilvl w:val="0"/>
                <w:numId w:val="41"/>
              </w:numPr>
              <w:rPr>
                <w:rFonts w:ascii="Lexend" w:hAnsi="Lexend" w:cstheme="minorBidi"/>
                <w:sz w:val="22"/>
                <w:szCs w:val="22"/>
              </w:rPr>
            </w:pPr>
            <w:r w:rsidRPr="4F31098D">
              <w:rPr>
                <w:rFonts w:ascii="Lexend" w:hAnsi="Lexend" w:cstheme="minorBidi"/>
                <w:sz w:val="22"/>
                <w:szCs w:val="22"/>
              </w:rPr>
              <w:t>Accountable for</w:t>
            </w:r>
            <w:r w:rsidR="13169A3F" w:rsidRPr="00194076">
              <w:rPr>
                <w:rFonts w:ascii="Lexend" w:hAnsi="Lexend" w:cstheme="minorBidi"/>
                <w:sz w:val="22"/>
                <w:szCs w:val="22"/>
              </w:rPr>
              <w:t xml:space="preserve"> negotiation strategies by assessing commercial viability and customer impact of pricing proposals, and working with the wider business to deliver these</w:t>
            </w:r>
          </w:p>
          <w:p w14:paraId="04533BD1" w14:textId="7D30119A" w:rsidR="00F42BF4" w:rsidRDefault="219D3F50" w:rsidP="5152A934">
            <w:pPr>
              <w:pStyle w:val="ListParagraph"/>
              <w:numPr>
                <w:ilvl w:val="0"/>
                <w:numId w:val="41"/>
              </w:numPr>
              <w:rPr>
                <w:rFonts w:ascii="Lexend" w:hAnsi="Lexend" w:cstheme="minorBidi"/>
                <w:sz w:val="22"/>
                <w:szCs w:val="22"/>
              </w:rPr>
            </w:pPr>
            <w:r w:rsidRPr="4F31098D">
              <w:rPr>
                <w:rFonts w:ascii="Lexend" w:eastAsia="Lexend" w:hAnsi="Lexend" w:cs="Lexend"/>
                <w:color w:val="000000" w:themeColor="text1"/>
                <w:sz w:val="22"/>
                <w:szCs w:val="22"/>
              </w:rPr>
              <w:t xml:space="preserve">You will have an in-depth knowledge of Motability Operations business model, and the lease pricing inputs, forecasts and risks associated with these </w:t>
            </w:r>
          </w:p>
          <w:p w14:paraId="6C946210" w14:textId="68C3D3BF" w:rsidR="00F42BF4" w:rsidRDefault="0FEECCF5" w:rsidP="5152A934">
            <w:pPr>
              <w:pStyle w:val="ListParagraph"/>
              <w:numPr>
                <w:ilvl w:val="0"/>
                <w:numId w:val="41"/>
              </w:numPr>
              <w:rPr>
                <w:rFonts w:ascii="Lexend" w:hAnsi="Lexend" w:cstheme="minorBidi"/>
                <w:sz w:val="22"/>
                <w:szCs w:val="22"/>
              </w:rPr>
            </w:pPr>
            <w:r w:rsidRPr="1A24D47B">
              <w:rPr>
                <w:rFonts w:ascii="Lexend" w:hAnsi="Lexend" w:cstheme="minorBidi"/>
                <w:sz w:val="22"/>
                <w:szCs w:val="22"/>
              </w:rPr>
              <w:t xml:space="preserve">Support </w:t>
            </w:r>
            <w:r w:rsidR="41D94968" w:rsidRPr="1A24D47B">
              <w:rPr>
                <w:rFonts w:ascii="Lexend" w:hAnsi="Lexend" w:cstheme="minorBidi"/>
                <w:sz w:val="22"/>
                <w:szCs w:val="22"/>
              </w:rPr>
              <w:t xml:space="preserve">the delivery of the </w:t>
            </w:r>
            <w:r w:rsidR="4AF5B1A0" w:rsidRPr="1A24D47B">
              <w:rPr>
                <w:rFonts w:ascii="Lexend" w:hAnsi="Lexend" w:cstheme="minorBidi"/>
                <w:sz w:val="22"/>
                <w:szCs w:val="22"/>
              </w:rPr>
              <w:t>Strategic Pricing outlook and volume forecast</w:t>
            </w:r>
            <w:r w:rsidR="41D94968" w:rsidRPr="1A24D47B">
              <w:rPr>
                <w:rFonts w:ascii="Lexend" w:hAnsi="Lexend" w:cstheme="minorBidi"/>
                <w:sz w:val="22"/>
                <w:szCs w:val="22"/>
              </w:rPr>
              <w:t xml:space="preserve"> across all MO product lines (car, WAV etc)</w:t>
            </w:r>
            <w:r w:rsidR="070A6057" w:rsidRPr="1A24D47B">
              <w:rPr>
                <w:rFonts w:ascii="Lexend" w:hAnsi="Lexend" w:cstheme="minorBidi"/>
                <w:sz w:val="22"/>
                <w:szCs w:val="22"/>
              </w:rPr>
              <w:t>, whilst supporting th</w:t>
            </w:r>
            <w:r w:rsidR="207C8FE0" w:rsidRPr="1A24D47B">
              <w:rPr>
                <w:rFonts w:ascii="Lexend" w:hAnsi="Lexend" w:cstheme="minorBidi"/>
                <w:sz w:val="22"/>
                <w:szCs w:val="22"/>
              </w:rPr>
              <w:t>e</w:t>
            </w:r>
            <w:r w:rsidR="070A6057" w:rsidRPr="1A24D47B">
              <w:rPr>
                <w:rFonts w:ascii="Lexend" w:hAnsi="Lexend" w:cstheme="minorBidi"/>
                <w:sz w:val="22"/>
                <w:szCs w:val="22"/>
              </w:rPr>
              <w:t xml:space="preserve"> wider deliverables of the Pricing team</w:t>
            </w:r>
          </w:p>
          <w:p w14:paraId="13EF11D8" w14:textId="3C437DCE" w:rsidR="592CCAED" w:rsidRDefault="592CCAED" w:rsidP="2DCF7B68">
            <w:pPr>
              <w:pStyle w:val="ListParagraph"/>
              <w:numPr>
                <w:ilvl w:val="0"/>
                <w:numId w:val="41"/>
              </w:numPr>
              <w:spacing w:line="259" w:lineRule="auto"/>
              <w:rPr>
                <w:rFonts w:ascii="Lexend" w:eastAsia="Lexend" w:hAnsi="Lexend" w:cs="Lexend"/>
                <w:color w:val="000000" w:themeColor="text1"/>
                <w:sz w:val="22"/>
                <w:szCs w:val="22"/>
              </w:rPr>
            </w:pPr>
            <w:r w:rsidRPr="2DCF7B68">
              <w:rPr>
                <w:rFonts w:ascii="Lexend" w:eastAsia="Lexend" w:hAnsi="Lexend" w:cs="Lexend"/>
                <w:color w:val="000000" w:themeColor="text1"/>
                <w:sz w:val="22"/>
                <w:szCs w:val="22"/>
              </w:rPr>
              <w:t>Collaborate with cross functional teams to ensure the optimum pricing output across the pricing triangle</w:t>
            </w:r>
          </w:p>
          <w:p w14:paraId="21F9C008" w14:textId="078D3B6D" w:rsidR="592CCAED" w:rsidRDefault="592CCAED" w:rsidP="2DCF7B68">
            <w:pPr>
              <w:pStyle w:val="ListParagraph"/>
              <w:numPr>
                <w:ilvl w:val="0"/>
                <w:numId w:val="41"/>
              </w:numPr>
              <w:spacing w:line="259" w:lineRule="auto"/>
              <w:rPr>
                <w:rFonts w:ascii="Lexend" w:eastAsia="Lexend" w:hAnsi="Lexend" w:cs="Lexend"/>
                <w:color w:val="000000" w:themeColor="text1"/>
                <w:sz w:val="22"/>
                <w:szCs w:val="22"/>
              </w:rPr>
            </w:pPr>
            <w:r w:rsidRPr="2DCF7B68">
              <w:rPr>
                <w:rFonts w:ascii="Lexend" w:eastAsia="Lexend" w:hAnsi="Lexend" w:cs="Lexend"/>
                <w:color w:val="000000" w:themeColor="text1"/>
                <w:sz w:val="22"/>
                <w:szCs w:val="22"/>
              </w:rPr>
              <w:t>Ensure that pricing adheres to MO and Asset Risk governance approach</w:t>
            </w:r>
          </w:p>
          <w:p w14:paraId="556D840A" w14:textId="67ACB876" w:rsidR="00F42BF4" w:rsidRDefault="41D94968" w:rsidP="5152A934">
            <w:pPr>
              <w:pStyle w:val="ListParagraph"/>
              <w:numPr>
                <w:ilvl w:val="0"/>
                <w:numId w:val="41"/>
              </w:numPr>
              <w:rPr>
                <w:rFonts w:ascii="Lexend" w:hAnsi="Lexend" w:cstheme="minorBidi"/>
                <w:sz w:val="22"/>
                <w:szCs w:val="22"/>
              </w:rPr>
            </w:pPr>
            <w:r w:rsidRPr="00194076">
              <w:rPr>
                <w:rFonts w:ascii="Lexend" w:hAnsi="Lexend" w:cstheme="minorBidi"/>
                <w:sz w:val="22"/>
                <w:szCs w:val="22"/>
              </w:rPr>
              <w:t xml:space="preserve">Work with AR leadership to deliver overarching AR BAU, AR and MO objectives </w:t>
            </w:r>
          </w:p>
          <w:p w14:paraId="7086FA55" w14:textId="08B278E7" w:rsidR="4216A3E3" w:rsidRPr="001A27AC" w:rsidRDefault="4216A3E3" w:rsidP="001A27AC">
            <w:pPr>
              <w:pStyle w:val="ListParagraph"/>
              <w:numPr>
                <w:ilvl w:val="0"/>
                <w:numId w:val="42"/>
              </w:numPr>
              <w:rPr>
                <w:rFonts w:ascii="Lexend" w:eastAsia="Lexend" w:hAnsi="Lexend" w:cs="Lexend"/>
                <w:color w:val="000000" w:themeColor="text1"/>
                <w:sz w:val="22"/>
                <w:szCs w:val="22"/>
              </w:rPr>
            </w:pPr>
            <w:r w:rsidRPr="001A27AC">
              <w:rPr>
                <w:rFonts w:ascii="Lexend" w:eastAsia="Lexend" w:hAnsi="Lexend" w:cs="Lexend"/>
                <w:color w:val="000000" w:themeColor="text1"/>
                <w:sz w:val="22"/>
                <w:szCs w:val="22"/>
              </w:rPr>
              <w:t>You will form collaborative relationships to ensure the requirements of the Pricing Team are understood, planned and managed for all strategic projects and business as usual activity across the relevant time frames of 12 to 24 months.</w:t>
            </w:r>
          </w:p>
          <w:p w14:paraId="69AE86EE" w14:textId="5BFD7D46" w:rsidR="4216A3E3" w:rsidRPr="001A27AC" w:rsidRDefault="4216A3E3" w:rsidP="001A27AC">
            <w:pPr>
              <w:pStyle w:val="ListParagraph"/>
              <w:numPr>
                <w:ilvl w:val="0"/>
                <w:numId w:val="42"/>
              </w:numPr>
              <w:rPr>
                <w:rFonts w:ascii="Lexend" w:eastAsia="Lexend" w:hAnsi="Lexend" w:cs="Lexend"/>
                <w:color w:val="000000" w:themeColor="text1"/>
                <w:sz w:val="22"/>
                <w:szCs w:val="22"/>
              </w:rPr>
            </w:pPr>
            <w:r w:rsidRPr="001A27AC">
              <w:rPr>
                <w:rFonts w:ascii="Lexend" w:eastAsia="Lexend" w:hAnsi="Lexend" w:cs="Lexend"/>
                <w:color w:val="000000" w:themeColor="text1"/>
                <w:sz w:val="22"/>
                <w:szCs w:val="22"/>
              </w:rPr>
              <w:t>Develop collaborative and enduring relationships with the Asset Risk and wider business leadership team, relevant stakeholders, and be an advocate for Asset Risk and our ways of working</w:t>
            </w:r>
          </w:p>
          <w:p w14:paraId="1DFBBBB3" w14:textId="14BFD3F4" w:rsidR="4216A3E3" w:rsidRPr="001A27AC" w:rsidRDefault="4216A3E3" w:rsidP="001A27AC">
            <w:pPr>
              <w:pStyle w:val="ListParagraph"/>
              <w:numPr>
                <w:ilvl w:val="0"/>
                <w:numId w:val="42"/>
              </w:numPr>
              <w:rPr>
                <w:rFonts w:ascii="Lexend" w:eastAsia="Lexend" w:hAnsi="Lexend" w:cs="Lexend"/>
                <w:color w:val="000000" w:themeColor="text1"/>
                <w:sz w:val="22"/>
                <w:szCs w:val="22"/>
              </w:rPr>
            </w:pPr>
            <w:r w:rsidRPr="001A27AC">
              <w:rPr>
                <w:rFonts w:ascii="Lexend" w:eastAsia="Lexend" w:hAnsi="Lexend" w:cs="Lexend"/>
                <w:color w:val="000000" w:themeColor="text1"/>
                <w:sz w:val="22"/>
                <w:szCs w:val="22"/>
              </w:rPr>
              <w:lastRenderedPageBreak/>
              <w:t>Be an advocate for Asset Risk, and work with colleagues around the business to promote best practices and skills &amp; knowledge sharing.</w:t>
            </w:r>
          </w:p>
          <w:p w14:paraId="44541A56" w14:textId="1DA6D29E" w:rsidR="0AB0214C" w:rsidRPr="001A27AC" w:rsidRDefault="0AB0214C" w:rsidP="001A27AC">
            <w:pPr>
              <w:pStyle w:val="ListParagraph"/>
              <w:numPr>
                <w:ilvl w:val="0"/>
                <w:numId w:val="42"/>
              </w:numPr>
              <w:rPr>
                <w:rFonts w:ascii="Lexend" w:eastAsia="Lexend" w:hAnsi="Lexend" w:cs="Lexend"/>
                <w:color w:val="000000" w:themeColor="text1"/>
                <w:sz w:val="22"/>
                <w:szCs w:val="22"/>
              </w:rPr>
            </w:pPr>
            <w:r w:rsidRPr="001A27AC">
              <w:rPr>
                <w:rFonts w:ascii="Lexend" w:eastAsia="Lexend" w:hAnsi="Lexend" w:cs="Lexend"/>
                <w:color w:val="000000" w:themeColor="text1"/>
                <w:sz w:val="22"/>
                <w:szCs w:val="22"/>
              </w:rPr>
              <w:t>You will proactively engage with relevant 3rd parties (industry bodies, commentators and experts) to develop your understanding of external best practice, industry themes and expertise, and ensure they feed back to Asset Risk appropriately</w:t>
            </w:r>
          </w:p>
          <w:p w14:paraId="51B38B8C" w14:textId="38FBC161" w:rsidR="24A47F03" w:rsidRDefault="24A47F03" w:rsidP="24A47F03">
            <w:pPr>
              <w:pStyle w:val="ListParagraph"/>
              <w:shd w:val="clear" w:color="auto" w:fill="FFFFFF" w:themeFill="background1"/>
              <w:spacing w:before="220" w:after="220"/>
              <w:ind w:left="360"/>
              <w:rPr>
                <w:rFonts w:ascii="Lexend" w:eastAsia="Lexend" w:hAnsi="Lexend" w:cs="Lexend"/>
                <w:color w:val="4471C4"/>
                <w:sz w:val="22"/>
                <w:szCs w:val="22"/>
              </w:rPr>
            </w:pPr>
          </w:p>
          <w:p w14:paraId="68EFE2DC" w14:textId="21EF8622" w:rsidR="00F42BF4" w:rsidRDefault="00F42BF4" w:rsidP="5152A934">
            <w:pPr>
              <w:pStyle w:val="ListParagraph"/>
              <w:ind w:left="360"/>
            </w:pP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1A24D47B">
        <w:tc>
          <w:tcPr>
            <w:tcW w:w="10054" w:type="dxa"/>
            <w:gridSpan w:val="2"/>
          </w:tcPr>
          <w:p w14:paraId="0D4E77FD" w14:textId="74C37230" w:rsidR="00005A45" w:rsidRDefault="00005A45" w:rsidP="00005A45">
            <w:pPr>
              <w:rPr>
                <w:rFonts w:ascii="Lexend" w:hAnsi="Lexend"/>
                <w:b/>
                <w:bCs/>
                <w:color w:val="1739E5"/>
              </w:rPr>
            </w:pPr>
            <w:r w:rsidRPr="00194076">
              <w:rPr>
                <w:rFonts w:ascii="Lexend" w:hAnsi="Lexend"/>
                <w:b/>
                <w:bCs/>
                <w:color w:val="1739E5"/>
              </w:rPr>
              <w:lastRenderedPageBreak/>
              <w:t>About you</w:t>
            </w:r>
          </w:p>
          <w:p w14:paraId="35AA400E" w14:textId="77777777" w:rsidR="008C5990" w:rsidRPr="005C58E7" w:rsidRDefault="008C5990" w:rsidP="00005A45">
            <w:pPr>
              <w:rPr>
                <w:rFonts w:ascii="Lexend" w:hAnsi="Lexend"/>
                <w:b/>
                <w:color w:val="1739E5"/>
                <w:szCs w:val="24"/>
              </w:rPr>
            </w:pPr>
          </w:p>
          <w:p w14:paraId="610332E5" w14:textId="1D9D6695" w:rsidR="74AF1659" w:rsidRDefault="74AF1659" w:rsidP="00194076">
            <w:pPr>
              <w:pStyle w:val="ListParagraph"/>
              <w:numPr>
                <w:ilvl w:val="0"/>
                <w:numId w:val="2"/>
              </w:numPr>
              <w:spacing w:line="259" w:lineRule="auto"/>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Ability to coordinate multiple stakeholders, colleagues and deadlines</w:t>
            </w:r>
          </w:p>
          <w:p w14:paraId="475DF8EF" w14:textId="287D3E17" w:rsidR="74AF1659" w:rsidRDefault="74AF1659" w:rsidP="00194076">
            <w:pPr>
              <w:pStyle w:val="ListParagraph"/>
              <w:numPr>
                <w:ilvl w:val="0"/>
                <w:numId w:val="2"/>
              </w:numPr>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 xml:space="preserve">Passionate about using systems to support accurate decision making  </w:t>
            </w:r>
          </w:p>
          <w:p w14:paraId="1A51F520" w14:textId="28420D9E" w:rsidR="74AF1659" w:rsidRDefault="74AF1659" w:rsidP="00194076">
            <w:pPr>
              <w:pStyle w:val="ListParagraph"/>
              <w:numPr>
                <w:ilvl w:val="0"/>
                <w:numId w:val="2"/>
              </w:numPr>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Confident in ensuring data accuracy feeding models, insight and outputs</w:t>
            </w:r>
          </w:p>
          <w:p w14:paraId="769D7FA6" w14:textId="0EFF31E9" w:rsidR="74AF1659" w:rsidRDefault="74AF1659" w:rsidP="00194076">
            <w:pPr>
              <w:pStyle w:val="ListParagraph"/>
              <w:numPr>
                <w:ilvl w:val="0"/>
                <w:numId w:val="2"/>
              </w:numPr>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Ability to explain technical concepts to non-technical stakeholders</w:t>
            </w:r>
          </w:p>
          <w:p w14:paraId="2BA5F670" w14:textId="77777777" w:rsidR="008C5990" w:rsidRDefault="74AF1659" w:rsidP="008C5990">
            <w:pPr>
              <w:pStyle w:val="ListParagraph"/>
              <w:numPr>
                <w:ilvl w:val="0"/>
                <w:numId w:val="2"/>
              </w:numPr>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Can understand the business environment, market trends, and the financial impact of decisions to align systems and process enhancements to support the organisation's strategic goals</w:t>
            </w:r>
          </w:p>
          <w:p w14:paraId="3C46A30D" w14:textId="1873C053" w:rsidR="74AF1659" w:rsidRPr="008C5990" w:rsidRDefault="74AF1659" w:rsidP="008C5990">
            <w:pPr>
              <w:pStyle w:val="ListParagraph"/>
              <w:numPr>
                <w:ilvl w:val="0"/>
                <w:numId w:val="2"/>
              </w:numPr>
              <w:rPr>
                <w:rFonts w:ascii="Lexend" w:eastAsia="Lexend" w:hAnsi="Lexend" w:cs="Lexend"/>
                <w:color w:val="000000" w:themeColor="text1"/>
                <w:sz w:val="22"/>
                <w:szCs w:val="22"/>
              </w:rPr>
            </w:pPr>
            <w:r w:rsidRPr="008C5990">
              <w:rPr>
                <w:rFonts w:ascii="Lexend" w:eastAsia="Lexend" w:hAnsi="Lexend" w:cs="Lexend"/>
                <w:color w:val="000000" w:themeColor="text1"/>
                <w:sz w:val="22"/>
                <w:szCs w:val="22"/>
              </w:rPr>
              <w:t>Ability to build enduring relationships across the business and influence others</w:t>
            </w:r>
          </w:p>
          <w:p w14:paraId="4F6FFE38" w14:textId="35057130" w:rsidR="0023680C" w:rsidRPr="00005A45" w:rsidRDefault="0023680C" w:rsidP="00EF6E4A">
            <w:pPr>
              <w:rPr>
                <w:rFonts w:ascii="Lexend" w:hAnsi="Lexend"/>
                <w:bCs/>
                <w:sz w:val="22"/>
                <w:szCs w:val="22"/>
              </w:rPr>
            </w:pPr>
          </w:p>
        </w:tc>
      </w:tr>
      <w:tr w:rsidR="00005A45" w14:paraId="0FF29B93" w14:textId="77777777" w:rsidTr="1A24D47B">
        <w:tc>
          <w:tcPr>
            <w:tcW w:w="10054" w:type="dxa"/>
            <w:gridSpan w:val="2"/>
          </w:tcPr>
          <w:p w14:paraId="445EDDBC" w14:textId="5EFF864C" w:rsidR="003F4018" w:rsidRDefault="00AA315A" w:rsidP="003F4018">
            <w:pPr>
              <w:rPr>
                <w:rFonts w:ascii="Lexend" w:hAnsi="Lexend"/>
                <w:b/>
                <w:bCs/>
                <w:color w:val="1739E5"/>
              </w:rPr>
            </w:pPr>
            <w:r w:rsidRPr="00194076">
              <w:rPr>
                <w:rFonts w:ascii="Lexend" w:hAnsi="Lexend"/>
                <w:b/>
                <w:bCs/>
                <w:color w:val="1739E5"/>
              </w:rPr>
              <w:t>Minimum criteria</w:t>
            </w:r>
          </w:p>
          <w:p w14:paraId="4C01B225" w14:textId="77777777" w:rsidR="008C5990" w:rsidRPr="008C2EEB" w:rsidRDefault="008C5990" w:rsidP="003F4018">
            <w:pPr>
              <w:rPr>
                <w:rFonts w:ascii="Lexend" w:hAnsi="Lexend"/>
                <w:b/>
                <w:color w:val="1739E5"/>
                <w:szCs w:val="24"/>
              </w:rPr>
            </w:pPr>
          </w:p>
          <w:p w14:paraId="48B4C691" w14:textId="75E069F8" w:rsidR="003F4018" w:rsidRPr="00900F2A" w:rsidRDefault="65177B4D" w:rsidP="00194076">
            <w:pPr>
              <w:pStyle w:val="ListParagraph"/>
              <w:numPr>
                <w:ilvl w:val="0"/>
                <w:numId w:val="1"/>
              </w:numPr>
              <w:rPr>
                <w:rFonts w:ascii="Lexend" w:eastAsia="Lexend" w:hAnsi="Lexend" w:cs="Lexend"/>
                <w:color w:val="000000" w:themeColor="text1"/>
                <w:sz w:val="22"/>
                <w:szCs w:val="22"/>
              </w:rPr>
            </w:pPr>
            <w:r w:rsidRPr="00194076">
              <w:rPr>
                <w:rFonts w:ascii="Lexend" w:eastAsia="Lexend" w:hAnsi="Lexend" w:cs="Lexend"/>
                <w:color w:val="000000" w:themeColor="text1"/>
                <w:sz w:val="22"/>
                <w:szCs w:val="22"/>
              </w:rPr>
              <w:t>Extensive experience of delivering data and insight activities across a group of multiple stakeholders</w:t>
            </w:r>
          </w:p>
          <w:p w14:paraId="32A2D802" w14:textId="34FF5DCD" w:rsidR="003F4018" w:rsidRPr="00900F2A" w:rsidRDefault="008C5990" w:rsidP="00194076">
            <w:pPr>
              <w:pStyle w:val="ListParagraph"/>
              <w:numPr>
                <w:ilvl w:val="0"/>
                <w:numId w:val="1"/>
              </w:numPr>
              <w:spacing w:line="259" w:lineRule="auto"/>
              <w:rPr>
                <w:rFonts w:ascii="Lexend" w:eastAsia="Lexend" w:hAnsi="Lexend" w:cs="Lexend"/>
                <w:color w:val="000000" w:themeColor="text1"/>
                <w:sz w:val="22"/>
                <w:szCs w:val="22"/>
              </w:rPr>
            </w:pPr>
            <w:r>
              <w:rPr>
                <w:rFonts w:ascii="Lexend" w:eastAsia="Lexend" w:hAnsi="Lexend" w:cs="Lexend"/>
                <w:color w:val="000000" w:themeColor="text1"/>
                <w:sz w:val="22"/>
                <w:szCs w:val="22"/>
              </w:rPr>
              <w:t>E</w:t>
            </w:r>
            <w:r w:rsidR="65177B4D" w:rsidRPr="00194076">
              <w:rPr>
                <w:rFonts w:ascii="Lexend" w:eastAsia="Lexend" w:hAnsi="Lexend" w:cs="Lexend"/>
                <w:color w:val="000000" w:themeColor="text1"/>
                <w:sz w:val="22"/>
                <w:szCs w:val="22"/>
              </w:rPr>
              <w:t>xperience of Pricing within a complex business environment</w:t>
            </w:r>
          </w:p>
          <w:p w14:paraId="4D5F4D6C" w14:textId="076FFA66" w:rsidR="003F4018" w:rsidRPr="00900F2A" w:rsidRDefault="003F4018" w:rsidP="00194076">
            <w:pPr>
              <w:rPr>
                <w:rFonts w:ascii="Lexend" w:hAnsi="Lexend" w:cstheme="minorBidi"/>
                <w:sz w:val="20"/>
              </w:rPr>
            </w:pPr>
          </w:p>
          <w:p w14:paraId="49D68889" w14:textId="5EDA2319" w:rsidR="00005A45" w:rsidRDefault="00896DA7" w:rsidP="00005A45">
            <w:pPr>
              <w:rPr>
                <w:rFonts w:ascii="Lexend" w:hAnsi="Lexend"/>
                <w:b/>
                <w:color w:val="1739E5"/>
              </w:rPr>
            </w:pPr>
            <w:r w:rsidRPr="4F31098D">
              <w:rPr>
                <w:rFonts w:ascii="Lexend" w:hAnsi="Lexend"/>
                <w:b/>
                <w:color w:val="1739E5"/>
              </w:rPr>
              <w:t>Who you’ll be working with</w:t>
            </w:r>
          </w:p>
          <w:p w14:paraId="6A3AAF87" w14:textId="77777777" w:rsidR="008C5990" w:rsidRPr="008C2EEB" w:rsidRDefault="008C5990" w:rsidP="00005A45">
            <w:pPr>
              <w:rPr>
                <w:rFonts w:ascii="Lexend" w:hAnsi="Lexend"/>
                <w:b/>
                <w:color w:val="1739E5"/>
                <w:szCs w:val="24"/>
              </w:rPr>
            </w:pPr>
          </w:p>
          <w:p w14:paraId="1ACD3398" w14:textId="1E00B6AD" w:rsidR="008B5EC7" w:rsidRPr="003F4018" w:rsidRDefault="4381CE3E" w:rsidP="4F31098D">
            <w:pPr>
              <w:pStyle w:val="ListParagraph"/>
              <w:numPr>
                <w:ilvl w:val="0"/>
                <w:numId w:val="42"/>
              </w:numPr>
              <w:rPr>
                <w:rFonts w:ascii="Lexend" w:eastAsia="Lexend" w:hAnsi="Lexend" w:cs="Lexend"/>
                <w:color w:val="000000" w:themeColor="text1"/>
                <w:sz w:val="22"/>
                <w:szCs w:val="22"/>
              </w:rPr>
            </w:pPr>
            <w:r w:rsidRPr="4F31098D">
              <w:rPr>
                <w:rFonts w:ascii="Lexend" w:eastAsia="Lexend" w:hAnsi="Lexend" w:cs="Lexend"/>
                <w:color w:val="000000" w:themeColor="text1"/>
                <w:sz w:val="22"/>
                <w:szCs w:val="22"/>
              </w:rPr>
              <w:t xml:space="preserve">The Asset Risk Leadership to coordinate and deliver on the Asset Risk strategic roadmap &amp; people engagement through the development and embedding of successful ways of working </w:t>
            </w:r>
          </w:p>
          <w:p w14:paraId="4D19ED65" w14:textId="58D6C7E8" w:rsidR="008B5EC7" w:rsidRPr="003F4018" w:rsidRDefault="4381CE3E" w:rsidP="4F31098D">
            <w:pPr>
              <w:pStyle w:val="ListParagraph"/>
              <w:numPr>
                <w:ilvl w:val="0"/>
                <w:numId w:val="42"/>
              </w:numPr>
              <w:rPr>
                <w:rFonts w:ascii="Lexend" w:eastAsia="Lexend" w:hAnsi="Lexend" w:cs="Lexend"/>
                <w:color w:val="000000" w:themeColor="text1"/>
                <w:sz w:val="22"/>
                <w:szCs w:val="22"/>
              </w:rPr>
            </w:pPr>
            <w:r w:rsidRPr="4F31098D">
              <w:rPr>
                <w:rFonts w:ascii="Lexend" w:eastAsia="Lexend" w:hAnsi="Lexend" w:cs="Lexend"/>
                <w:color w:val="000000" w:themeColor="text1"/>
                <w:sz w:val="22"/>
                <w:szCs w:val="22"/>
              </w:rPr>
              <w:t xml:space="preserve">The Asset Risk Operational Team in the delivery of your </w:t>
            </w:r>
            <w:proofErr w:type="gramStart"/>
            <w:r w:rsidRPr="4F31098D">
              <w:rPr>
                <w:rFonts w:ascii="Lexend" w:eastAsia="Lexend" w:hAnsi="Lexend" w:cs="Lexend"/>
                <w:color w:val="000000" w:themeColor="text1"/>
                <w:sz w:val="22"/>
                <w:szCs w:val="22"/>
              </w:rPr>
              <w:t>teams</w:t>
            </w:r>
            <w:proofErr w:type="gramEnd"/>
            <w:r w:rsidRPr="4F31098D">
              <w:rPr>
                <w:rFonts w:ascii="Lexend" w:eastAsia="Lexend" w:hAnsi="Lexend" w:cs="Lexend"/>
                <w:color w:val="000000" w:themeColor="text1"/>
                <w:sz w:val="22"/>
                <w:szCs w:val="22"/>
              </w:rPr>
              <w:t xml:space="preserve"> outputs</w:t>
            </w:r>
          </w:p>
          <w:p w14:paraId="4811758D" w14:textId="56601CBC" w:rsidR="008B5EC7" w:rsidRPr="003F4018" w:rsidRDefault="4381CE3E" w:rsidP="4F31098D">
            <w:pPr>
              <w:pStyle w:val="ListParagraph"/>
              <w:numPr>
                <w:ilvl w:val="0"/>
                <w:numId w:val="42"/>
              </w:numPr>
              <w:rPr>
                <w:rFonts w:ascii="Lexend" w:eastAsia="Lexend" w:hAnsi="Lexend" w:cs="Lexend"/>
                <w:color w:val="000000" w:themeColor="text1"/>
                <w:sz w:val="22"/>
                <w:szCs w:val="22"/>
              </w:rPr>
            </w:pPr>
            <w:r w:rsidRPr="001A27AC">
              <w:rPr>
                <w:rFonts w:ascii="Lexend" w:eastAsia="Lexend" w:hAnsi="Lexend" w:cs="Lexend"/>
                <w:color w:val="000000" w:themeColor="text1"/>
                <w:sz w:val="22"/>
                <w:szCs w:val="22"/>
              </w:rPr>
              <w:t xml:space="preserve">The wider business (Manufacturer Relations, Finance, RV and SMR, Insurance) to support lease pricing optimisation </w:t>
            </w:r>
          </w:p>
          <w:p w14:paraId="13466DE5" w14:textId="75A7DF3B" w:rsidR="008B5EC7" w:rsidRPr="003F4018" w:rsidRDefault="008B5EC7" w:rsidP="00F839FD">
            <w:pPr>
              <w:rPr>
                <w:rFonts w:ascii="Lexend" w:hAnsi="Lexend"/>
                <w:bCs/>
                <w:color w:val="808080" w:themeColor="background1" w:themeShade="80"/>
                <w:sz w:val="22"/>
                <w:szCs w:val="22"/>
              </w:rPr>
            </w:pPr>
          </w:p>
        </w:tc>
      </w:tr>
      <w:tr w:rsidR="00005A45" w14:paraId="4CB02243" w14:textId="77777777" w:rsidTr="1A24D47B">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1A24D47B">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011EB445" w:rsidR="00005A45" w:rsidRDefault="00E00123" w:rsidP="00005A45">
            <w:pPr>
              <w:rPr>
                <w:rFonts w:ascii="Lexend" w:hAnsi="Lexend"/>
                <w:bCs/>
                <w:color w:val="808080" w:themeColor="background1" w:themeShade="80"/>
                <w:sz w:val="22"/>
                <w:szCs w:val="22"/>
              </w:rPr>
            </w:pPr>
            <w:r>
              <w:rPr>
                <w:rFonts w:ascii="Lexend" w:hAnsi="Lexend"/>
                <w:bCs/>
                <w:color w:val="808080" w:themeColor="background1" w:themeShade="80"/>
                <w:sz w:val="22"/>
                <w:szCs w:val="22"/>
              </w:rPr>
              <w:t>[L</w:t>
            </w:r>
            <w:r w:rsidR="00900F2A">
              <w:rPr>
                <w:rFonts w:ascii="Lexend" w:hAnsi="Lexend"/>
                <w:bCs/>
                <w:color w:val="808080" w:themeColor="background1" w:themeShade="80"/>
                <w:sz w:val="22"/>
                <w:szCs w:val="22"/>
              </w:rPr>
              <w:t xml:space="preserve">ist any </w:t>
            </w:r>
            <w:r w:rsidR="0004643B">
              <w:rPr>
                <w:rFonts w:ascii="Lexend" w:hAnsi="Lexend"/>
                <w:bCs/>
                <w:color w:val="808080" w:themeColor="background1" w:themeShade="80"/>
                <w:sz w:val="22"/>
                <w:szCs w:val="22"/>
              </w:rPr>
              <w:t>DBS or financial check</w:t>
            </w:r>
            <w:r w:rsidR="001D5F88">
              <w:rPr>
                <w:rFonts w:ascii="Lexend" w:hAnsi="Lexend"/>
                <w:bCs/>
                <w:color w:val="808080" w:themeColor="background1" w:themeShade="80"/>
                <w:sz w:val="22"/>
                <w:szCs w:val="22"/>
              </w:rPr>
              <w:t>s</w:t>
            </w:r>
            <w:r w:rsidR="0004643B">
              <w:rPr>
                <w:rFonts w:ascii="Lexend" w:hAnsi="Lexend"/>
                <w:bCs/>
                <w:color w:val="808080" w:themeColor="background1" w:themeShade="80"/>
                <w:sz w:val="22"/>
                <w:szCs w:val="22"/>
              </w:rPr>
              <w:t xml:space="preserve"> they’ll need</w:t>
            </w:r>
            <w:r w:rsidR="001D5F88">
              <w:rPr>
                <w:rFonts w:ascii="Lexend" w:hAnsi="Lexend"/>
                <w:bCs/>
                <w:color w:val="808080" w:themeColor="background1" w:themeShade="80"/>
                <w:sz w:val="22"/>
                <w:szCs w:val="22"/>
              </w:rPr>
              <w:t>. D</w:t>
            </w:r>
            <w:r w:rsidR="00900F2A">
              <w:rPr>
                <w:rFonts w:ascii="Lexend" w:hAnsi="Lexend"/>
                <w:bCs/>
                <w:color w:val="808080" w:themeColor="background1" w:themeShade="80"/>
                <w:sz w:val="22"/>
                <w:szCs w:val="22"/>
              </w:rPr>
              <w:t>elete this row if there are no checks</w:t>
            </w:r>
            <w:r w:rsidR="0004643B">
              <w:rPr>
                <w:rFonts w:ascii="Lexend" w:hAnsi="Lexend"/>
                <w:bCs/>
                <w:color w:val="808080" w:themeColor="background1" w:themeShade="80"/>
                <w:sz w:val="22"/>
                <w:szCs w:val="22"/>
              </w:rPr>
              <w:t>]</w:t>
            </w: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1A24D47B">
        <w:tc>
          <w:tcPr>
            <w:tcW w:w="10054" w:type="dxa"/>
            <w:gridSpan w:val="2"/>
          </w:tcPr>
          <w:p w14:paraId="31259914" w14:textId="77777777" w:rsidR="0023680C"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p w14:paraId="5FADBD6A" w14:textId="6109668B" w:rsidR="008C5990" w:rsidRPr="003D1EDA" w:rsidRDefault="008C5990" w:rsidP="00005A45">
            <w:pPr>
              <w:rPr>
                <w:rFonts w:ascii="Lexend" w:hAnsi="Lexend"/>
                <w:b/>
                <w:color w:val="1739E5"/>
                <w:szCs w:val="24"/>
              </w:rPr>
            </w:pPr>
          </w:p>
        </w:tc>
      </w:tr>
      <w:tr w:rsidR="0000448C" w14:paraId="23AC192E" w14:textId="77777777" w:rsidTr="1A24D47B">
        <w:tc>
          <w:tcPr>
            <w:tcW w:w="10054" w:type="dxa"/>
            <w:gridSpan w:val="2"/>
          </w:tcPr>
          <w:p w14:paraId="7C3F0CEA" w14:textId="6456A41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AB3CE5">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w:t>
            </w:r>
            <w:r w:rsidRPr="006D5FD0">
              <w:rPr>
                <w:rFonts w:ascii="Lexend" w:hAnsi="Lexend"/>
              </w:rPr>
              <w:lastRenderedPageBreak/>
              <w:t>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1A24D47B">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1A24D47B">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40"/>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40"/>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40"/>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1A24D47B">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FFC8" w14:textId="77777777" w:rsidR="00AF0EA2" w:rsidRDefault="00AF0EA2">
      <w:r>
        <w:separator/>
      </w:r>
    </w:p>
  </w:endnote>
  <w:endnote w:type="continuationSeparator" w:id="0">
    <w:p w14:paraId="414460F6" w14:textId="77777777" w:rsidR="00AF0EA2" w:rsidRDefault="00AF0EA2">
      <w:r>
        <w:continuationSeparator/>
      </w:r>
    </w:p>
  </w:endnote>
  <w:endnote w:type="continuationNotice" w:id="1">
    <w:p w14:paraId="35035344" w14:textId="77777777" w:rsidR="00AF0EA2" w:rsidRDefault="00AF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93A0" w14:textId="77777777" w:rsidR="00AF0EA2" w:rsidRDefault="00AF0EA2">
      <w:r>
        <w:separator/>
      </w:r>
    </w:p>
  </w:footnote>
  <w:footnote w:type="continuationSeparator" w:id="0">
    <w:p w14:paraId="6623D393" w14:textId="77777777" w:rsidR="00AF0EA2" w:rsidRDefault="00AF0EA2">
      <w:r>
        <w:continuationSeparator/>
      </w:r>
    </w:p>
  </w:footnote>
  <w:footnote w:type="continuationNotice" w:id="1">
    <w:p w14:paraId="378DD2FF" w14:textId="77777777" w:rsidR="00AF0EA2" w:rsidRDefault="00AF0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4C71A"/>
    <w:multiLevelType w:val="hybridMultilevel"/>
    <w:tmpl w:val="4B06AA5E"/>
    <w:lvl w:ilvl="0" w:tplc="55AAD46C">
      <w:start w:val="1"/>
      <w:numFmt w:val="bullet"/>
      <w:lvlText w:val=""/>
      <w:lvlJc w:val="left"/>
      <w:pPr>
        <w:ind w:left="360" w:hanging="360"/>
      </w:pPr>
      <w:rPr>
        <w:rFonts w:ascii="Symbol" w:hAnsi="Symbol" w:hint="default"/>
      </w:rPr>
    </w:lvl>
    <w:lvl w:ilvl="1" w:tplc="B790AAB8">
      <w:start w:val="1"/>
      <w:numFmt w:val="bullet"/>
      <w:lvlText w:val="o"/>
      <w:lvlJc w:val="left"/>
      <w:pPr>
        <w:ind w:left="1440" w:hanging="360"/>
      </w:pPr>
      <w:rPr>
        <w:rFonts w:ascii="Courier New" w:hAnsi="Courier New" w:hint="default"/>
      </w:rPr>
    </w:lvl>
    <w:lvl w:ilvl="2" w:tplc="D3448AD2">
      <w:start w:val="1"/>
      <w:numFmt w:val="bullet"/>
      <w:lvlText w:val=""/>
      <w:lvlJc w:val="left"/>
      <w:pPr>
        <w:ind w:left="2160" w:hanging="360"/>
      </w:pPr>
      <w:rPr>
        <w:rFonts w:ascii="Wingdings" w:hAnsi="Wingdings" w:hint="default"/>
      </w:rPr>
    </w:lvl>
    <w:lvl w:ilvl="3" w:tplc="1E04F7E0">
      <w:start w:val="1"/>
      <w:numFmt w:val="bullet"/>
      <w:lvlText w:val=""/>
      <w:lvlJc w:val="left"/>
      <w:pPr>
        <w:ind w:left="2880" w:hanging="360"/>
      </w:pPr>
      <w:rPr>
        <w:rFonts w:ascii="Symbol" w:hAnsi="Symbol" w:hint="default"/>
      </w:rPr>
    </w:lvl>
    <w:lvl w:ilvl="4" w:tplc="D944C6BE">
      <w:start w:val="1"/>
      <w:numFmt w:val="bullet"/>
      <w:lvlText w:val="o"/>
      <w:lvlJc w:val="left"/>
      <w:pPr>
        <w:ind w:left="3600" w:hanging="360"/>
      </w:pPr>
      <w:rPr>
        <w:rFonts w:ascii="Courier New" w:hAnsi="Courier New" w:hint="default"/>
      </w:rPr>
    </w:lvl>
    <w:lvl w:ilvl="5" w:tplc="1C24E642">
      <w:start w:val="1"/>
      <w:numFmt w:val="bullet"/>
      <w:lvlText w:val=""/>
      <w:lvlJc w:val="left"/>
      <w:pPr>
        <w:ind w:left="4320" w:hanging="360"/>
      </w:pPr>
      <w:rPr>
        <w:rFonts w:ascii="Wingdings" w:hAnsi="Wingdings" w:hint="default"/>
      </w:rPr>
    </w:lvl>
    <w:lvl w:ilvl="6" w:tplc="EF8EE02E">
      <w:start w:val="1"/>
      <w:numFmt w:val="bullet"/>
      <w:lvlText w:val=""/>
      <w:lvlJc w:val="left"/>
      <w:pPr>
        <w:ind w:left="5040" w:hanging="360"/>
      </w:pPr>
      <w:rPr>
        <w:rFonts w:ascii="Symbol" w:hAnsi="Symbol" w:hint="default"/>
      </w:rPr>
    </w:lvl>
    <w:lvl w:ilvl="7" w:tplc="DB028C0C">
      <w:start w:val="1"/>
      <w:numFmt w:val="bullet"/>
      <w:lvlText w:val="o"/>
      <w:lvlJc w:val="left"/>
      <w:pPr>
        <w:ind w:left="5760" w:hanging="360"/>
      </w:pPr>
      <w:rPr>
        <w:rFonts w:ascii="Courier New" w:hAnsi="Courier New" w:hint="default"/>
      </w:rPr>
    </w:lvl>
    <w:lvl w:ilvl="8" w:tplc="12E40E72">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E7A8A"/>
    <w:multiLevelType w:val="hybridMultilevel"/>
    <w:tmpl w:val="B5A4D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54C92"/>
    <w:multiLevelType w:val="hybridMultilevel"/>
    <w:tmpl w:val="FC060A0A"/>
    <w:lvl w:ilvl="0" w:tplc="9BEA0558">
      <w:start w:val="1"/>
      <w:numFmt w:val="bullet"/>
      <w:lvlText w:val=""/>
      <w:lvlJc w:val="left"/>
      <w:pPr>
        <w:ind w:left="360" w:hanging="360"/>
      </w:pPr>
      <w:rPr>
        <w:rFonts w:ascii="Symbol" w:hAnsi="Symbol" w:hint="default"/>
      </w:rPr>
    </w:lvl>
    <w:lvl w:ilvl="1" w:tplc="650E3858">
      <w:start w:val="1"/>
      <w:numFmt w:val="bullet"/>
      <w:lvlText w:val="o"/>
      <w:lvlJc w:val="left"/>
      <w:pPr>
        <w:ind w:left="1440" w:hanging="360"/>
      </w:pPr>
      <w:rPr>
        <w:rFonts w:ascii="Courier New" w:hAnsi="Courier New" w:hint="default"/>
      </w:rPr>
    </w:lvl>
    <w:lvl w:ilvl="2" w:tplc="159C7D22">
      <w:start w:val="1"/>
      <w:numFmt w:val="bullet"/>
      <w:lvlText w:val=""/>
      <w:lvlJc w:val="left"/>
      <w:pPr>
        <w:ind w:left="2160" w:hanging="360"/>
      </w:pPr>
      <w:rPr>
        <w:rFonts w:ascii="Wingdings" w:hAnsi="Wingdings" w:hint="default"/>
      </w:rPr>
    </w:lvl>
    <w:lvl w:ilvl="3" w:tplc="E9505346">
      <w:start w:val="1"/>
      <w:numFmt w:val="bullet"/>
      <w:lvlText w:val=""/>
      <w:lvlJc w:val="left"/>
      <w:pPr>
        <w:ind w:left="2880" w:hanging="360"/>
      </w:pPr>
      <w:rPr>
        <w:rFonts w:ascii="Symbol" w:hAnsi="Symbol" w:hint="default"/>
      </w:rPr>
    </w:lvl>
    <w:lvl w:ilvl="4" w:tplc="0DA6F426">
      <w:start w:val="1"/>
      <w:numFmt w:val="bullet"/>
      <w:lvlText w:val="o"/>
      <w:lvlJc w:val="left"/>
      <w:pPr>
        <w:ind w:left="3600" w:hanging="360"/>
      </w:pPr>
      <w:rPr>
        <w:rFonts w:ascii="Courier New" w:hAnsi="Courier New" w:hint="default"/>
      </w:rPr>
    </w:lvl>
    <w:lvl w:ilvl="5" w:tplc="F36290BE">
      <w:start w:val="1"/>
      <w:numFmt w:val="bullet"/>
      <w:lvlText w:val=""/>
      <w:lvlJc w:val="left"/>
      <w:pPr>
        <w:ind w:left="4320" w:hanging="360"/>
      </w:pPr>
      <w:rPr>
        <w:rFonts w:ascii="Wingdings" w:hAnsi="Wingdings" w:hint="default"/>
      </w:rPr>
    </w:lvl>
    <w:lvl w:ilvl="6" w:tplc="500AE62C">
      <w:start w:val="1"/>
      <w:numFmt w:val="bullet"/>
      <w:lvlText w:val=""/>
      <w:lvlJc w:val="left"/>
      <w:pPr>
        <w:ind w:left="5040" w:hanging="360"/>
      </w:pPr>
      <w:rPr>
        <w:rFonts w:ascii="Symbol" w:hAnsi="Symbol" w:hint="default"/>
      </w:rPr>
    </w:lvl>
    <w:lvl w:ilvl="7" w:tplc="BBF2C8D0">
      <w:start w:val="1"/>
      <w:numFmt w:val="bullet"/>
      <w:lvlText w:val="o"/>
      <w:lvlJc w:val="left"/>
      <w:pPr>
        <w:ind w:left="5760" w:hanging="360"/>
      </w:pPr>
      <w:rPr>
        <w:rFonts w:ascii="Courier New" w:hAnsi="Courier New" w:hint="default"/>
      </w:rPr>
    </w:lvl>
    <w:lvl w:ilvl="8" w:tplc="8F9265E2">
      <w:start w:val="1"/>
      <w:numFmt w:val="bullet"/>
      <w:lvlText w:val=""/>
      <w:lvlJc w:val="left"/>
      <w:pPr>
        <w:ind w:left="6480" w:hanging="360"/>
      </w:pPr>
      <w:rPr>
        <w:rFonts w:ascii="Wingdings" w:hAnsi="Wingdings" w:hint="default"/>
      </w:rPr>
    </w:lvl>
  </w:abstractNum>
  <w:abstractNum w:abstractNumId="30" w15:restartNumberingAfterBreak="0">
    <w:nsid w:val="57F6D3B7"/>
    <w:multiLevelType w:val="hybridMultilevel"/>
    <w:tmpl w:val="95067278"/>
    <w:lvl w:ilvl="0" w:tplc="C1D47C24">
      <w:start w:val="1"/>
      <w:numFmt w:val="bullet"/>
      <w:lvlText w:val=""/>
      <w:lvlJc w:val="left"/>
      <w:pPr>
        <w:ind w:left="360" w:hanging="360"/>
      </w:pPr>
      <w:rPr>
        <w:rFonts w:ascii="Symbol" w:hAnsi="Symbol" w:hint="default"/>
      </w:rPr>
    </w:lvl>
    <w:lvl w:ilvl="1" w:tplc="F6281C32">
      <w:start w:val="1"/>
      <w:numFmt w:val="bullet"/>
      <w:lvlText w:val="o"/>
      <w:lvlJc w:val="left"/>
      <w:pPr>
        <w:ind w:left="1440" w:hanging="360"/>
      </w:pPr>
      <w:rPr>
        <w:rFonts w:ascii="Courier New" w:hAnsi="Courier New" w:hint="default"/>
      </w:rPr>
    </w:lvl>
    <w:lvl w:ilvl="2" w:tplc="01624F96">
      <w:start w:val="1"/>
      <w:numFmt w:val="bullet"/>
      <w:lvlText w:val=""/>
      <w:lvlJc w:val="left"/>
      <w:pPr>
        <w:ind w:left="2160" w:hanging="360"/>
      </w:pPr>
      <w:rPr>
        <w:rFonts w:ascii="Wingdings" w:hAnsi="Wingdings" w:hint="default"/>
      </w:rPr>
    </w:lvl>
    <w:lvl w:ilvl="3" w:tplc="7CD2076A">
      <w:start w:val="1"/>
      <w:numFmt w:val="bullet"/>
      <w:lvlText w:val=""/>
      <w:lvlJc w:val="left"/>
      <w:pPr>
        <w:ind w:left="2880" w:hanging="360"/>
      </w:pPr>
      <w:rPr>
        <w:rFonts w:ascii="Symbol" w:hAnsi="Symbol" w:hint="default"/>
      </w:rPr>
    </w:lvl>
    <w:lvl w:ilvl="4" w:tplc="EB6C3ED6">
      <w:start w:val="1"/>
      <w:numFmt w:val="bullet"/>
      <w:lvlText w:val="o"/>
      <w:lvlJc w:val="left"/>
      <w:pPr>
        <w:ind w:left="3600" w:hanging="360"/>
      </w:pPr>
      <w:rPr>
        <w:rFonts w:ascii="Courier New" w:hAnsi="Courier New" w:hint="default"/>
      </w:rPr>
    </w:lvl>
    <w:lvl w:ilvl="5" w:tplc="24C6337C">
      <w:start w:val="1"/>
      <w:numFmt w:val="bullet"/>
      <w:lvlText w:val=""/>
      <w:lvlJc w:val="left"/>
      <w:pPr>
        <w:ind w:left="4320" w:hanging="360"/>
      </w:pPr>
      <w:rPr>
        <w:rFonts w:ascii="Wingdings" w:hAnsi="Wingdings" w:hint="default"/>
      </w:rPr>
    </w:lvl>
    <w:lvl w:ilvl="6" w:tplc="6B80A298">
      <w:start w:val="1"/>
      <w:numFmt w:val="bullet"/>
      <w:lvlText w:val=""/>
      <w:lvlJc w:val="left"/>
      <w:pPr>
        <w:ind w:left="5040" w:hanging="360"/>
      </w:pPr>
      <w:rPr>
        <w:rFonts w:ascii="Symbol" w:hAnsi="Symbol" w:hint="default"/>
      </w:rPr>
    </w:lvl>
    <w:lvl w:ilvl="7" w:tplc="53AEC1E0">
      <w:start w:val="1"/>
      <w:numFmt w:val="bullet"/>
      <w:lvlText w:val="o"/>
      <w:lvlJc w:val="left"/>
      <w:pPr>
        <w:ind w:left="5760" w:hanging="360"/>
      </w:pPr>
      <w:rPr>
        <w:rFonts w:ascii="Courier New" w:hAnsi="Courier New" w:hint="default"/>
      </w:rPr>
    </w:lvl>
    <w:lvl w:ilvl="8" w:tplc="3B849E0E">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730220">
    <w:abstractNumId w:val="24"/>
  </w:num>
  <w:num w:numId="2" w16cid:durableId="1144129424">
    <w:abstractNumId w:val="30"/>
  </w:num>
  <w:num w:numId="3" w16cid:durableId="1026563382">
    <w:abstractNumId w:val="11"/>
  </w:num>
  <w:num w:numId="4" w16cid:durableId="1225290955">
    <w:abstractNumId w:val="6"/>
  </w:num>
  <w:num w:numId="5" w16cid:durableId="1360857908">
    <w:abstractNumId w:val="2"/>
  </w:num>
  <w:num w:numId="6" w16cid:durableId="303660112">
    <w:abstractNumId w:val="36"/>
  </w:num>
  <w:num w:numId="7" w16cid:durableId="1104616596">
    <w:abstractNumId w:val="41"/>
  </w:num>
  <w:num w:numId="8" w16cid:durableId="1645037857">
    <w:abstractNumId w:val="12"/>
  </w:num>
  <w:num w:numId="9" w16cid:durableId="941182358">
    <w:abstractNumId w:val="3"/>
  </w:num>
  <w:num w:numId="10" w16cid:durableId="118496352">
    <w:abstractNumId w:val="8"/>
  </w:num>
  <w:num w:numId="11" w16cid:durableId="48961000">
    <w:abstractNumId w:val="38"/>
  </w:num>
  <w:num w:numId="12" w16cid:durableId="1236814170">
    <w:abstractNumId w:val="14"/>
  </w:num>
  <w:num w:numId="13" w16cid:durableId="924845669">
    <w:abstractNumId w:val="33"/>
  </w:num>
  <w:num w:numId="14" w16cid:durableId="1586959621">
    <w:abstractNumId w:val="37"/>
  </w:num>
  <w:num w:numId="15" w16cid:durableId="1973634893">
    <w:abstractNumId w:val="10"/>
  </w:num>
  <w:num w:numId="16" w16cid:durableId="1438604040">
    <w:abstractNumId w:val="21"/>
  </w:num>
  <w:num w:numId="17" w16cid:durableId="1513494444">
    <w:abstractNumId w:val="19"/>
  </w:num>
  <w:num w:numId="18" w16cid:durableId="1747654335">
    <w:abstractNumId w:val="31"/>
  </w:num>
  <w:num w:numId="19" w16cid:durableId="1169827613">
    <w:abstractNumId w:val="13"/>
  </w:num>
  <w:num w:numId="20" w16cid:durableId="774248678">
    <w:abstractNumId w:val="35"/>
  </w:num>
  <w:num w:numId="21" w16cid:durableId="575938434">
    <w:abstractNumId w:val="16"/>
  </w:num>
  <w:num w:numId="22" w16cid:durableId="79110247">
    <w:abstractNumId w:val="22"/>
  </w:num>
  <w:num w:numId="23" w16cid:durableId="914124496">
    <w:abstractNumId w:val="25"/>
  </w:num>
  <w:num w:numId="24" w16cid:durableId="263342577">
    <w:abstractNumId w:val="17"/>
  </w:num>
  <w:num w:numId="25" w16cid:durableId="1353920482">
    <w:abstractNumId w:val="4"/>
  </w:num>
  <w:num w:numId="26" w16cid:durableId="73283562">
    <w:abstractNumId w:val="40"/>
  </w:num>
  <w:num w:numId="27" w16cid:durableId="1704091098">
    <w:abstractNumId w:val="23"/>
  </w:num>
  <w:num w:numId="28" w16cid:durableId="1590042919">
    <w:abstractNumId w:val="1"/>
  </w:num>
  <w:num w:numId="29" w16cid:durableId="807894186">
    <w:abstractNumId w:val="15"/>
  </w:num>
  <w:num w:numId="30" w16cid:durableId="1574117201">
    <w:abstractNumId w:val="5"/>
  </w:num>
  <w:num w:numId="31" w16cid:durableId="449666736">
    <w:abstractNumId w:val="32"/>
  </w:num>
  <w:num w:numId="32" w16cid:durableId="1159149538">
    <w:abstractNumId w:val="34"/>
  </w:num>
  <w:num w:numId="33" w16cid:durableId="1020543685">
    <w:abstractNumId w:val="18"/>
  </w:num>
  <w:num w:numId="34" w16cid:durableId="690575195">
    <w:abstractNumId w:val="39"/>
  </w:num>
  <w:num w:numId="35" w16cid:durableId="1003585426">
    <w:abstractNumId w:val="28"/>
  </w:num>
  <w:num w:numId="36" w16cid:durableId="1446537673">
    <w:abstractNumId w:val="9"/>
  </w:num>
  <w:num w:numId="37" w16cid:durableId="200019508">
    <w:abstractNumId w:val="0"/>
  </w:num>
  <w:num w:numId="38" w16cid:durableId="1788960634">
    <w:abstractNumId w:val="7"/>
  </w:num>
  <w:num w:numId="39" w16cid:durableId="1881504940">
    <w:abstractNumId w:val="20"/>
  </w:num>
  <w:num w:numId="40" w16cid:durableId="908002776">
    <w:abstractNumId w:val="27"/>
  </w:num>
  <w:num w:numId="41" w16cid:durableId="1205412290">
    <w:abstractNumId w:val="26"/>
  </w:num>
  <w:num w:numId="42" w16cid:durableId="8103395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247C"/>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21EE"/>
    <w:rsid w:val="00124B56"/>
    <w:rsid w:val="00126D22"/>
    <w:rsid w:val="001309C4"/>
    <w:rsid w:val="00132BA0"/>
    <w:rsid w:val="00132C5C"/>
    <w:rsid w:val="00132D7E"/>
    <w:rsid w:val="00135707"/>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4076"/>
    <w:rsid w:val="00195F96"/>
    <w:rsid w:val="00196FD3"/>
    <w:rsid w:val="001A27AC"/>
    <w:rsid w:val="001A35C3"/>
    <w:rsid w:val="001A39F5"/>
    <w:rsid w:val="001A4933"/>
    <w:rsid w:val="001A66EE"/>
    <w:rsid w:val="001B2039"/>
    <w:rsid w:val="001B7D32"/>
    <w:rsid w:val="001C2E6E"/>
    <w:rsid w:val="001C5D81"/>
    <w:rsid w:val="001D06C8"/>
    <w:rsid w:val="001D11FE"/>
    <w:rsid w:val="001D149A"/>
    <w:rsid w:val="001D5045"/>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46FE"/>
    <w:rsid w:val="002353AA"/>
    <w:rsid w:val="0023680C"/>
    <w:rsid w:val="00236E6E"/>
    <w:rsid w:val="002371B4"/>
    <w:rsid w:val="0023732F"/>
    <w:rsid w:val="00240E45"/>
    <w:rsid w:val="002423C0"/>
    <w:rsid w:val="00244C41"/>
    <w:rsid w:val="002534DA"/>
    <w:rsid w:val="00262C0C"/>
    <w:rsid w:val="0026596A"/>
    <w:rsid w:val="00270658"/>
    <w:rsid w:val="0027286D"/>
    <w:rsid w:val="002767DA"/>
    <w:rsid w:val="00283D2C"/>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41CF1"/>
    <w:rsid w:val="0034349A"/>
    <w:rsid w:val="00354118"/>
    <w:rsid w:val="00355B4D"/>
    <w:rsid w:val="003609CC"/>
    <w:rsid w:val="00360D80"/>
    <w:rsid w:val="00363EF8"/>
    <w:rsid w:val="00365140"/>
    <w:rsid w:val="00367863"/>
    <w:rsid w:val="003736E4"/>
    <w:rsid w:val="00374217"/>
    <w:rsid w:val="003744C5"/>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323B"/>
    <w:rsid w:val="00437CEC"/>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159EA"/>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1A08"/>
    <w:rsid w:val="007321EE"/>
    <w:rsid w:val="00742697"/>
    <w:rsid w:val="00746220"/>
    <w:rsid w:val="007476F9"/>
    <w:rsid w:val="00752968"/>
    <w:rsid w:val="00757B89"/>
    <w:rsid w:val="00760CE9"/>
    <w:rsid w:val="007644AB"/>
    <w:rsid w:val="0076496A"/>
    <w:rsid w:val="00772434"/>
    <w:rsid w:val="00774461"/>
    <w:rsid w:val="00775E57"/>
    <w:rsid w:val="007761ED"/>
    <w:rsid w:val="00776E3F"/>
    <w:rsid w:val="007828C9"/>
    <w:rsid w:val="00785A39"/>
    <w:rsid w:val="00786F32"/>
    <w:rsid w:val="00786FD5"/>
    <w:rsid w:val="007907F5"/>
    <w:rsid w:val="00792A81"/>
    <w:rsid w:val="00795DD5"/>
    <w:rsid w:val="007A0F1E"/>
    <w:rsid w:val="007A22FC"/>
    <w:rsid w:val="007A6406"/>
    <w:rsid w:val="007B210D"/>
    <w:rsid w:val="007B23F8"/>
    <w:rsid w:val="007B5A25"/>
    <w:rsid w:val="007C41DD"/>
    <w:rsid w:val="007C59AE"/>
    <w:rsid w:val="007C756C"/>
    <w:rsid w:val="007D3FF2"/>
    <w:rsid w:val="007D5F95"/>
    <w:rsid w:val="007E1654"/>
    <w:rsid w:val="007E1843"/>
    <w:rsid w:val="007E1A6C"/>
    <w:rsid w:val="007E23D1"/>
    <w:rsid w:val="007F0BBB"/>
    <w:rsid w:val="007F32CA"/>
    <w:rsid w:val="007F4562"/>
    <w:rsid w:val="00800EFA"/>
    <w:rsid w:val="008024A8"/>
    <w:rsid w:val="00804F2E"/>
    <w:rsid w:val="00805277"/>
    <w:rsid w:val="00805639"/>
    <w:rsid w:val="008066B8"/>
    <w:rsid w:val="0081211A"/>
    <w:rsid w:val="00814111"/>
    <w:rsid w:val="00816A2E"/>
    <w:rsid w:val="00816E6D"/>
    <w:rsid w:val="00825291"/>
    <w:rsid w:val="00825FA0"/>
    <w:rsid w:val="00832E42"/>
    <w:rsid w:val="00836F80"/>
    <w:rsid w:val="00841705"/>
    <w:rsid w:val="0085052C"/>
    <w:rsid w:val="00855BA6"/>
    <w:rsid w:val="00857140"/>
    <w:rsid w:val="00857FDC"/>
    <w:rsid w:val="00867F93"/>
    <w:rsid w:val="00870000"/>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5990"/>
    <w:rsid w:val="008C7AE3"/>
    <w:rsid w:val="008D2263"/>
    <w:rsid w:val="008D3AB8"/>
    <w:rsid w:val="008D429D"/>
    <w:rsid w:val="008D4660"/>
    <w:rsid w:val="008D49CD"/>
    <w:rsid w:val="008D586C"/>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3F31"/>
    <w:rsid w:val="009D7359"/>
    <w:rsid w:val="009E2DDC"/>
    <w:rsid w:val="009E36DA"/>
    <w:rsid w:val="009E6CFD"/>
    <w:rsid w:val="009E70DC"/>
    <w:rsid w:val="009E746E"/>
    <w:rsid w:val="009F0C57"/>
    <w:rsid w:val="009F1BDB"/>
    <w:rsid w:val="009F3E9F"/>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1293"/>
    <w:rsid w:val="00A429C2"/>
    <w:rsid w:val="00A45421"/>
    <w:rsid w:val="00A46FE2"/>
    <w:rsid w:val="00A47F1B"/>
    <w:rsid w:val="00A56956"/>
    <w:rsid w:val="00A56CEF"/>
    <w:rsid w:val="00A66A62"/>
    <w:rsid w:val="00A67231"/>
    <w:rsid w:val="00A741E9"/>
    <w:rsid w:val="00A82A11"/>
    <w:rsid w:val="00A90B8D"/>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302"/>
    <w:rsid w:val="00AD0077"/>
    <w:rsid w:val="00AD2FC0"/>
    <w:rsid w:val="00AD7C54"/>
    <w:rsid w:val="00AE152D"/>
    <w:rsid w:val="00AE1748"/>
    <w:rsid w:val="00AE59BF"/>
    <w:rsid w:val="00AF0EA2"/>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66872"/>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5ACF"/>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477C"/>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13B3"/>
    <w:rsid w:val="00DC4037"/>
    <w:rsid w:val="00DD2EF5"/>
    <w:rsid w:val="00DD5416"/>
    <w:rsid w:val="00DE103C"/>
    <w:rsid w:val="00DE7179"/>
    <w:rsid w:val="00DF797B"/>
    <w:rsid w:val="00E00123"/>
    <w:rsid w:val="00E05402"/>
    <w:rsid w:val="00E06281"/>
    <w:rsid w:val="00E12251"/>
    <w:rsid w:val="00E142F5"/>
    <w:rsid w:val="00E150E5"/>
    <w:rsid w:val="00E257C0"/>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773B1"/>
    <w:rsid w:val="00E779BC"/>
    <w:rsid w:val="00E86CB9"/>
    <w:rsid w:val="00E90040"/>
    <w:rsid w:val="00E9078B"/>
    <w:rsid w:val="00E91AB7"/>
    <w:rsid w:val="00EA0DDF"/>
    <w:rsid w:val="00EA2122"/>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5629"/>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36719"/>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C05A4"/>
    <w:rsid w:val="00FD0AD4"/>
    <w:rsid w:val="00FD1083"/>
    <w:rsid w:val="00FE57B6"/>
    <w:rsid w:val="00FE6726"/>
    <w:rsid w:val="00FF5EB1"/>
    <w:rsid w:val="028F342E"/>
    <w:rsid w:val="03F24B9C"/>
    <w:rsid w:val="070A6057"/>
    <w:rsid w:val="08E8A063"/>
    <w:rsid w:val="0AB0214C"/>
    <w:rsid w:val="0AC9D13D"/>
    <w:rsid w:val="0B82E8EE"/>
    <w:rsid w:val="0BC6843B"/>
    <w:rsid w:val="0C808C16"/>
    <w:rsid w:val="0FEECCF5"/>
    <w:rsid w:val="11084143"/>
    <w:rsid w:val="117002D7"/>
    <w:rsid w:val="13169A3F"/>
    <w:rsid w:val="15A914BF"/>
    <w:rsid w:val="15E5F050"/>
    <w:rsid w:val="16A278AF"/>
    <w:rsid w:val="19950F3A"/>
    <w:rsid w:val="1A24D47B"/>
    <w:rsid w:val="1A645FD7"/>
    <w:rsid w:val="1BC6D38C"/>
    <w:rsid w:val="1C733646"/>
    <w:rsid w:val="1EC9F122"/>
    <w:rsid w:val="2004A3B1"/>
    <w:rsid w:val="200DD20A"/>
    <w:rsid w:val="207C8FE0"/>
    <w:rsid w:val="213D8635"/>
    <w:rsid w:val="219D3F50"/>
    <w:rsid w:val="22C98309"/>
    <w:rsid w:val="2463512B"/>
    <w:rsid w:val="24A47F03"/>
    <w:rsid w:val="25C8BBC5"/>
    <w:rsid w:val="25D74331"/>
    <w:rsid w:val="261F8455"/>
    <w:rsid w:val="267F593A"/>
    <w:rsid w:val="283FF72F"/>
    <w:rsid w:val="28CDB6B1"/>
    <w:rsid w:val="2C4AB1C7"/>
    <w:rsid w:val="2DCF7B68"/>
    <w:rsid w:val="2E550C7F"/>
    <w:rsid w:val="2FF2C5F3"/>
    <w:rsid w:val="302B743E"/>
    <w:rsid w:val="3043786D"/>
    <w:rsid w:val="325E523F"/>
    <w:rsid w:val="37DE78CB"/>
    <w:rsid w:val="38907681"/>
    <w:rsid w:val="3D1AF437"/>
    <w:rsid w:val="3DB9A768"/>
    <w:rsid w:val="3EAF3DA2"/>
    <w:rsid w:val="3F55BB18"/>
    <w:rsid w:val="3F55EDD5"/>
    <w:rsid w:val="41D94968"/>
    <w:rsid w:val="4216A3E3"/>
    <w:rsid w:val="4381CE3E"/>
    <w:rsid w:val="4395CADE"/>
    <w:rsid w:val="47EBD560"/>
    <w:rsid w:val="49703312"/>
    <w:rsid w:val="4A9321D1"/>
    <w:rsid w:val="4AF5B1A0"/>
    <w:rsid w:val="4B683A24"/>
    <w:rsid w:val="4CF8939C"/>
    <w:rsid w:val="4F31098D"/>
    <w:rsid w:val="4F4BF2A6"/>
    <w:rsid w:val="4FCF9354"/>
    <w:rsid w:val="50357FCF"/>
    <w:rsid w:val="5152A934"/>
    <w:rsid w:val="540D8490"/>
    <w:rsid w:val="54606B53"/>
    <w:rsid w:val="54677B71"/>
    <w:rsid w:val="54F999CF"/>
    <w:rsid w:val="54FFCA8D"/>
    <w:rsid w:val="55221613"/>
    <w:rsid w:val="5697E65B"/>
    <w:rsid w:val="592CCAED"/>
    <w:rsid w:val="59BC0471"/>
    <w:rsid w:val="5D35D66B"/>
    <w:rsid w:val="5DC27AC1"/>
    <w:rsid w:val="5E636457"/>
    <w:rsid w:val="5F2AFCF8"/>
    <w:rsid w:val="636B5709"/>
    <w:rsid w:val="64230702"/>
    <w:rsid w:val="65177B4D"/>
    <w:rsid w:val="6808B346"/>
    <w:rsid w:val="6997F3BC"/>
    <w:rsid w:val="69CAA29C"/>
    <w:rsid w:val="6EA3EECD"/>
    <w:rsid w:val="6EE7FEB8"/>
    <w:rsid w:val="74A6174E"/>
    <w:rsid w:val="74AF1659"/>
    <w:rsid w:val="74D1B359"/>
    <w:rsid w:val="7A0C5579"/>
    <w:rsid w:val="7E30C5F8"/>
    <w:rsid w:val="7EEC387D"/>
    <w:rsid w:val="7FF9C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9"/>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18F76342-C60C-4683-BC50-25881C3F4BE7}"/>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754d6d42-4235-408e-906d-db4e17a13531"/>
    <ds:schemaRef ds:uri="bc39f73f-b049-4cdc-8d77-520f657df9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6916</Characters>
  <Application>Microsoft Office Word</Application>
  <DocSecurity>4</DocSecurity>
  <Lines>57</Lines>
  <Paragraphs>16</Paragraphs>
  <ScaleCrop>false</ScaleCrop>
  <Company>Motability Finance Ltd</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2025-05-20T14:21:00Z</dcterms:created>
  <dcterms:modified xsi:type="dcterms:W3CDTF">2025-05-20T14:21:00Z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