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499"/>
      </w:tblGrid>
      <w:tr w:rsidR="00B70B86" w14:paraId="3F8184F4" w14:textId="77777777" w:rsidTr="00261AC7">
        <w:tc>
          <w:tcPr>
            <w:tcW w:w="45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496D7EB1" w14:textId="22C4B2F7" w:rsidR="005765EC" w:rsidRPr="005765EC" w:rsidRDefault="009441FF" w:rsidP="005840E8">
            <w:pPr>
              <w:rPr>
                <w:rFonts w:ascii="Lexend" w:hAnsi="Lexend"/>
                <w:sz w:val="22"/>
                <w:szCs w:val="22"/>
              </w:rPr>
            </w:pPr>
            <w:r>
              <w:rPr>
                <w:rFonts w:ascii="Lexend" w:hAnsi="Lexend"/>
                <w:sz w:val="22"/>
                <w:szCs w:val="22"/>
              </w:rPr>
              <w:t>Tax Manager</w:t>
            </w:r>
          </w:p>
          <w:p w14:paraId="7D188952" w14:textId="40D6B5A4" w:rsidR="005765EC" w:rsidRDefault="005765EC" w:rsidP="005840E8">
            <w:pPr>
              <w:rPr>
                <w:rFonts w:ascii="Lexend" w:hAnsi="Lexend" w:cstheme="minorHAnsi"/>
                <w:b/>
                <w:color w:val="1739E5"/>
                <w:szCs w:val="24"/>
              </w:rPr>
            </w:pPr>
          </w:p>
        </w:tc>
        <w:tc>
          <w:tcPr>
            <w:tcW w:w="4499"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9D7275F" w14:textId="25C829EF" w:rsidR="003C47CA" w:rsidRPr="005765EC" w:rsidRDefault="009441FF" w:rsidP="005840E8">
            <w:pPr>
              <w:rPr>
                <w:rFonts w:ascii="Lexend" w:hAnsi="Lexend"/>
                <w:sz w:val="22"/>
                <w:szCs w:val="22"/>
              </w:rPr>
            </w:pPr>
            <w:r>
              <w:rPr>
                <w:rFonts w:ascii="Lexend" w:hAnsi="Lexend"/>
                <w:sz w:val="22"/>
                <w:szCs w:val="22"/>
              </w:rPr>
              <w:t>Bristol</w:t>
            </w:r>
            <w:r w:rsidR="003C47CA" w:rsidRPr="005765EC">
              <w:rPr>
                <w:rFonts w:ascii="Lexend" w:hAnsi="Lexend"/>
                <w:sz w:val="22"/>
                <w:szCs w:val="22"/>
              </w:rPr>
              <w:t>, 35 hours, three days in the 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61AC7">
        <w:tc>
          <w:tcPr>
            <w:tcW w:w="45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41D26034" w:rsidR="0023680C" w:rsidRPr="005765EC" w:rsidRDefault="009441FF" w:rsidP="005840E8">
            <w:pPr>
              <w:rPr>
                <w:rFonts w:ascii="Lexend" w:hAnsi="Lexend"/>
                <w:sz w:val="22"/>
                <w:szCs w:val="22"/>
              </w:rPr>
            </w:pPr>
            <w:r>
              <w:rPr>
                <w:rFonts w:ascii="Lexend" w:hAnsi="Lexend"/>
                <w:sz w:val="22"/>
                <w:szCs w:val="22"/>
              </w:rPr>
              <w:t>Leadership</w:t>
            </w:r>
          </w:p>
          <w:p w14:paraId="22272DAA" w14:textId="77777777" w:rsidR="0064242A" w:rsidRDefault="0064242A" w:rsidP="007F0BBB">
            <w:pPr>
              <w:rPr>
                <w:rFonts w:ascii="Lexend" w:hAnsi="Lexend"/>
                <w:bCs/>
                <w:color w:val="808080" w:themeColor="background1" w:themeShade="80"/>
                <w:sz w:val="22"/>
                <w:szCs w:val="22"/>
              </w:rPr>
            </w:pPr>
          </w:p>
          <w:p w14:paraId="540F89FB" w14:textId="178E8DB6" w:rsidR="009441FF" w:rsidRDefault="009441FF" w:rsidP="009441FF">
            <w:pPr>
              <w:rPr>
                <w:rFonts w:ascii="Lexend" w:hAnsi="Lexend" w:cstheme="minorHAnsi"/>
                <w:b/>
                <w:color w:val="1739E5"/>
                <w:szCs w:val="24"/>
              </w:rPr>
            </w:pPr>
            <w:r w:rsidRPr="008C2EEB">
              <w:rPr>
                <w:rFonts w:ascii="Lexend" w:hAnsi="Lexend" w:cstheme="minorHAnsi"/>
                <w:b/>
                <w:color w:val="1739E5"/>
                <w:szCs w:val="24"/>
              </w:rPr>
              <w:t>R</w:t>
            </w:r>
            <w:r>
              <w:rPr>
                <w:rFonts w:ascii="Lexend" w:hAnsi="Lexend" w:cstheme="minorHAnsi"/>
                <w:b/>
                <w:color w:val="1739E5"/>
                <w:szCs w:val="24"/>
              </w:rPr>
              <w:t>eporting to</w:t>
            </w:r>
          </w:p>
          <w:p w14:paraId="732D3700" w14:textId="3062B354" w:rsidR="009441FF" w:rsidRPr="005765EC" w:rsidRDefault="009441FF" w:rsidP="009441FF">
            <w:pPr>
              <w:rPr>
                <w:rFonts w:ascii="Lexend" w:hAnsi="Lexend"/>
                <w:sz w:val="22"/>
                <w:szCs w:val="22"/>
              </w:rPr>
            </w:pPr>
            <w:r>
              <w:rPr>
                <w:rFonts w:ascii="Lexend" w:hAnsi="Lexend"/>
                <w:sz w:val="22"/>
                <w:szCs w:val="22"/>
              </w:rPr>
              <w:t>Head of Financial Reporting &amp; Tax</w:t>
            </w:r>
          </w:p>
          <w:p w14:paraId="66D65B1B" w14:textId="71D8547F" w:rsidR="009441FF" w:rsidRPr="0023680C" w:rsidRDefault="009441FF" w:rsidP="007F0BBB">
            <w:pPr>
              <w:rPr>
                <w:rFonts w:ascii="Lexend" w:hAnsi="Lexend"/>
                <w:bCs/>
                <w:color w:val="808080" w:themeColor="background1" w:themeShade="80"/>
                <w:sz w:val="22"/>
                <w:szCs w:val="22"/>
              </w:rPr>
            </w:pPr>
          </w:p>
        </w:tc>
        <w:tc>
          <w:tcPr>
            <w:tcW w:w="4499"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49F2E017" w:rsidR="00B70B86" w:rsidRPr="005765EC" w:rsidRDefault="00943208" w:rsidP="005840E8">
            <w:pPr>
              <w:rPr>
                <w:rFonts w:ascii="Lexend" w:hAnsi="Lexend"/>
                <w:sz w:val="22"/>
                <w:szCs w:val="22"/>
              </w:rPr>
            </w:pPr>
            <w:r w:rsidRPr="005765EC">
              <w:rPr>
                <w:rFonts w:ascii="Lexend" w:hAnsi="Lexend"/>
                <w:sz w:val="22"/>
                <w:szCs w:val="22"/>
              </w:rPr>
              <w:t xml:space="preserve">Up to </w:t>
            </w:r>
            <w:r w:rsidR="00005A45" w:rsidRPr="00BF4F14">
              <w:rPr>
                <w:rFonts w:ascii="Lexend" w:hAnsi="Lexend"/>
                <w:sz w:val="22"/>
                <w:szCs w:val="22"/>
              </w:rPr>
              <w:t>£</w:t>
            </w:r>
            <w:r w:rsidR="00261AC7" w:rsidRPr="00BF4F14">
              <w:rPr>
                <w:rFonts w:ascii="Lexend" w:hAnsi="Lexend"/>
                <w:sz w:val="22"/>
                <w:szCs w:val="22"/>
              </w:rPr>
              <w:t>97</w:t>
            </w:r>
            <w:r w:rsidR="000663FF" w:rsidRPr="00BF4F14">
              <w:rPr>
                <w:rFonts w:ascii="Lexend" w:hAnsi="Lexend"/>
                <w:sz w:val="22"/>
                <w:szCs w:val="22"/>
              </w:rPr>
              <w:t>,000</w:t>
            </w:r>
            <w:r w:rsidR="00005A45" w:rsidRPr="005765EC">
              <w:rPr>
                <w:rFonts w:ascii="Lexend" w:hAnsi="Lexend"/>
                <w:sz w:val="22"/>
                <w:szCs w:val="22"/>
              </w:rPr>
              <w:t>, plus benefits</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00261AC7">
        <w:tc>
          <w:tcPr>
            <w:tcW w:w="9026" w:type="dxa"/>
            <w:gridSpan w:val="2"/>
          </w:tcPr>
          <w:p w14:paraId="3894FB59" w14:textId="34CE0672" w:rsidR="008D6B44" w:rsidRDefault="00A335FB" w:rsidP="009441FF">
            <w:pPr>
              <w:jc w:val="both"/>
              <w:rPr>
                <w:rFonts w:ascii="Lexend" w:hAnsi="Lexend"/>
                <w:b/>
                <w:color w:val="1739E5"/>
                <w:szCs w:val="24"/>
              </w:rPr>
            </w:pPr>
            <w:r>
              <w:rPr>
                <w:rFonts w:ascii="Lexend" w:hAnsi="Lexend"/>
                <w:b/>
                <w:color w:val="1739E5"/>
                <w:szCs w:val="24"/>
              </w:rPr>
              <w:t>What you’ll be doing</w:t>
            </w:r>
          </w:p>
          <w:p w14:paraId="23F413AF" w14:textId="77777777" w:rsidR="00C85C00" w:rsidRPr="008C2EEB" w:rsidRDefault="00C85C00" w:rsidP="009441FF">
            <w:pPr>
              <w:jc w:val="both"/>
              <w:rPr>
                <w:rFonts w:ascii="Lexend" w:hAnsi="Lexend"/>
                <w:b/>
                <w:color w:val="1739E5"/>
                <w:szCs w:val="24"/>
              </w:rPr>
            </w:pPr>
          </w:p>
          <w:p w14:paraId="01E55076" w14:textId="53A2DFDD" w:rsidR="00C85C00" w:rsidRPr="00C85C00" w:rsidRDefault="00C85C00" w:rsidP="00C85C00">
            <w:pPr>
              <w:jc w:val="both"/>
              <w:rPr>
                <w:rFonts w:ascii="Lexend" w:hAnsi="Lexend"/>
                <w:sz w:val="22"/>
                <w:szCs w:val="22"/>
              </w:rPr>
            </w:pPr>
            <w:r w:rsidRPr="00C85C00">
              <w:rPr>
                <w:rFonts w:ascii="Lexend" w:hAnsi="Lexend"/>
                <w:sz w:val="22"/>
                <w:szCs w:val="22"/>
              </w:rPr>
              <w:t>Th</w:t>
            </w:r>
            <w:r w:rsidR="00C50F87">
              <w:rPr>
                <w:rFonts w:ascii="Lexend" w:hAnsi="Lexend"/>
                <w:sz w:val="22"/>
                <w:szCs w:val="22"/>
              </w:rPr>
              <w:t>e</w:t>
            </w:r>
            <w:r w:rsidRPr="00C85C00">
              <w:rPr>
                <w:rFonts w:ascii="Lexend" w:hAnsi="Lexend"/>
                <w:sz w:val="22"/>
                <w:szCs w:val="22"/>
              </w:rPr>
              <w:t xml:space="preserve"> Tax Manager role provides an exciting </w:t>
            </w:r>
            <w:r w:rsidR="0067746A">
              <w:rPr>
                <w:rFonts w:ascii="Lexend" w:hAnsi="Lexend"/>
                <w:sz w:val="22"/>
                <w:szCs w:val="22"/>
              </w:rPr>
              <w:t>opportunity</w:t>
            </w:r>
            <w:r w:rsidR="0067746A" w:rsidRPr="00C85C00">
              <w:rPr>
                <w:rFonts w:ascii="Lexend" w:hAnsi="Lexend"/>
                <w:sz w:val="22"/>
                <w:szCs w:val="22"/>
              </w:rPr>
              <w:t xml:space="preserve"> </w:t>
            </w:r>
            <w:r w:rsidRPr="00C85C00">
              <w:rPr>
                <w:rFonts w:ascii="Lexend" w:hAnsi="Lexend"/>
                <w:sz w:val="22"/>
                <w:szCs w:val="22"/>
              </w:rPr>
              <w:t>to join our friendly, high-performing Financial Reporting &amp; Tax team in Bristol.</w:t>
            </w:r>
          </w:p>
          <w:p w14:paraId="554C618F" w14:textId="77777777" w:rsidR="00C85C00" w:rsidRPr="00C85C00" w:rsidRDefault="00C85C00" w:rsidP="00C85C00">
            <w:pPr>
              <w:jc w:val="both"/>
              <w:rPr>
                <w:rFonts w:ascii="Lexend" w:hAnsi="Lexend"/>
                <w:sz w:val="22"/>
                <w:szCs w:val="22"/>
              </w:rPr>
            </w:pPr>
          </w:p>
          <w:p w14:paraId="781561EC" w14:textId="6E47889C" w:rsidR="009441FF" w:rsidRDefault="00C85C00" w:rsidP="00C85C00">
            <w:pPr>
              <w:jc w:val="both"/>
              <w:rPr>
                <w:rFonts w:ascii="Lexend" w:hAnsi="Lexend"/>
                <w:sz w:val="22"/>
                <w:szCs w:val="22"/>
              </w:rPr>
            </w:pPr>
            <w:r w:rsidRPr="00C85C00">
              <w:rPr>
                <w:rFonts w:ascii="Lexend" w:hAnsi="Lexend"/>
                <w:sz w:val="22"/>
                <w:szCs w:val="22"/>
              </w:rPr>
              <w:t xml:space="preserve">The Tax Manager will be responsible for ensuring that MO meets all its tax compliance commitments. This will include ensuring that all tax compliance returns are complete, accurate and filed on time. As well as this, you will ensure all tax payments and recoveries are made on a timely basis. You will also offer tax support to the business by responding to queries and supporting change programmes to help drive the business forward. </w:t>
            </w:r>
          </w:p>
          <w:p w14:paraId="39348232" w14:textId="77777777" w:rsidR="00C85C00" w:rsidRPr="009441FF" w:rsidRDefault="00C85C00" w:rsidP="00C85C00">
            <w:pPr>
              <w:jc w:val="both"/>
              <w:rPr>
                <w:rFonts w:ascii="Lexend" w:hAnsi="Lexend"/>
                <w:sz w:val="22"/>
                <w:szCs w:val="22"/>
              </w:rPr>
            </w:pPr>
          </w:p>
          <w:p w14:paraId="675A934B" w14:textId="0E520F97" w:rsidR="009441FF" w:rsidRPr="00123903" w:rsidRDefault="009441FF" w:rsidP="00A61190">
            <w:pPr>
              <w:spacing w:after="120"/>
              <w:jc w:val="both"/>
              <w:rPr>
                <w:rFonts w:ascii="Lexend" w:hAnsi="Lexend"/>
                <w:b/>
                <w:bCs/>
                <w:sz w:val="22"/>
                <w:szCs w:val="22"/>
              </w:rPr>
            </w:pPr>
            <w:r w:rsidRPr="00123903">
              <w:rPr>
                <w:rFonts w:ascii="Lexend" w:hAnsi="Lexend"/>
                <w:b/>
                <w:bCs/>
                <w:sz w:val="22"/>
                <w:szCs w:val="22"/>
              </w:rPr>
              <w:t xml:space="preserve">Core responsibilities associated with the role will include </w:t>
            </w:r>
            <w:r w:rsidR="00865F90">
              <w:rPr>
                <w:rFonts w:ascii="Lexend" w:hAnsi="Lexend"/>
                <w:b/>
                <w:bCs/>
                <w:sz w:val="22"/>
                <w:szCs w:val="22"/>
              </w:rPr>
              <w:t xml:space="preserve">(but may not be limited to) </w:t>
            </w:r>
            <w:r w:rsidRPr="00123903">
              <w:rPr>
                <w:rFonts w:ascii="Lexend" w:hAnsi="Lexend"/>
                <w:b/>
                <w:bCs/>
                <w:sz w:val="22"/>
                <w:szCs w:val="22"/>
              </w:rPr>
              <w:t>the following:</w:t>
            </w:r>
          </w:p>
          <w:p w14:paraId="440181F5" w14:textId="53672792" w:rsidR="00A61190" w:rsidRDefault="009441FF" w:rsidP="00A61190">
            <w:pPr>
              <w:pStyle w:val="ListParagraph"/>
              <w:numPr>
                <w:ilvl w:val="0"/>
                <w:numId w:val="41"/>
              </w:numPr>
              <w:spacing w:after="120"/>
              <w:contextualSpacing w:val="0"/>
              <w:jc w:val="both"/>
              <w:rPr>
                <w:rFonts w:ascii="Lexend" w:hAnsi="Lexend"/>
                <w:sz w:val="22"/>
                <w:szCs w:val="22"/>
              </w:rPr>
            </w:pPr>
            <w:r w:rsidRPr="00A61190">
              <w:rPr>
                <w:rFonts w:ascii="Lexend" w:hAnsi="Lexend"/>
                <w:sz w:val="22"/>
                <w:szCs w:val="22"/>
              </w:rPr>
              <w:t>Preparation and submission of Corporation Tax Returns and quarterly instalment payments</w:t>
            </w:r>
            <w:r w:rsidR="00123903">
              <w:rPr>
                <w:rFonts w:ascii="Lexend" w:hAnsi="Lexend"/>
                <w:sz w:val="22"/>
                <w:szCs w:val="22"/>
              </w:rPr>
              <w:t>.</w:t>
            </w:r>
          </w:p>
          <w:p w14:paraId="10E4D9F5" w14:textId="1B980262" w:rsidR="00C50F87" w:rsidRDefault="00C50F87" w:rsidP="00A61190">
            <w:pPr>
              <w:pStyle w:val="ListParagraph"/>
              <w:numPr>
                <w:ilvl w:val="0"/>
                <w:numId w:val="41"/>
              </w:numPr>
              <w:spacing w:after="120"/>
              <w:contextualSpacing w:val="0"/>
              <w:jc w:val="both"/>
              <w:rPr>
                <w:rFonts w:ascii="Lexend" w:hAnsi="Lexend"/>
                <w:sz w:val="22"/>
                <w:szCs w:val="22"/>
              </w:rPr>
            </w:pPr>
            <w:r>
              <w:rPr>
                <w:rFonts w:ascii="Lexend" w:hAnsi="Lexend"/>
                <w:sz w:val="22"/>
                <w:szCs w:val="22"/>
              </w:rPr>
              <w:t>Ensuring that MO’s Pillar 2 returns are prepared to a high standard and submitted on time (with potential external support as may be required).</w:t>
            </w:r>
          </w:p>
          <w:p w14:paraId="0CADF2B4" w14:textId="2C81F6C6" w:rsidR="00123903" w:rsidRDefault="00D20815" w:rsidP="00A61190">
            <w:pPr>
              <w:pStyle w:val="ListParagraph"/>
              <w:numPr>
                <w:ilvl w:val="0"/>
                <w:numId w:val="41"/>
              </w:numPr>
              <w:spacing w:after="120"/>
              <w:contextualSpacing w:val="0"/>
              <w:jc w:val="both"/>
              <w:rPr>
                <w:rFonts w:ascii="Lexend" w:hAnsi="Lexend"/>
                <w:sz w:val="22"/>
                <w:szCs w:val="22"/>
              </w:rPr>
            </w:pPr>
            <w:r>
              <w:rPr>
                <w:rFonts w:ascii="Lexend" w:hAnsi="Lexend"/>
                <w:sz w:val="22"/>
                <w:szCs w:val="22"/>
              </w:rPr>
              <w:t>Calculation of current and deferred taxes and p</w:t>
            </w:r>
            <w:r w:rsidR="00123903">
              <w:rPr>
                <w:rFonts w:ascii="Lexend" w:hAnsi="Lexend"/>
                <w:sz w:val="22"/>
                <w:szCs w:val="22"/>
              </w:rPr>
              <w:t xml:space="preserve">reparation of tax disclosures in MO’s Annual Report &amp; Accounts, Half-Year Report and monthly </w:t>
            </w:r>
            <w:r>
              <w:rPr>
                <w:rFonts w:ascii="Lexend" w:hAnsi="Lexend"/>
                <w:sz w:val="22"/>
                <w:szCs w:val="22"/>
              </w:rPr>
              <w:t>Management Accounts</w:t>
            </w:r>
            <w:r w:rsidR="000D4970">
              <w:rPr>
                <w:rFonts w:ascii="Lexend" w:hAnsi="Lexend"/>
                <w:sz w:val="22"/>
                <w:szCs w:val="22"/>
              </w:rPr>
              <w:t>, and provision of clear analysis &amp; explanations for movements in tax balances.</w:t>
            </w:r>
          </w:p>
          <w:p w14:paraId="73DD2D7F" w14:textId="77777777" w:rsidR="00A61190" w:rsidRDefault="009441FF" w:rsidP="00A61190">
            <w:pPr>
              <w:pStyle w:val="ListParagraph"/>
              <w:numPr>
                <w:ilvl w:val="0"/>
                <w:numId w:val="41"/>
              </w:numPr>
              <w:spacing w:after="120"/>
              <w:contextualSpacing w:val="0"/>
              <w:jc w:val="both"/>
              <w:rPr>
                <w:rFonts w:ascii="Lexend" w:hAnsi="Lexend"/>
                <w:sz w:val="22"/>
                <w:szCs w:val="22"/>
              </w:rPr>
            </w:pPr>
            <w:r w:rsidRPr="00A61190">
              <w:rPr>
                <w:rFonts w:ascii="Lexend" w:hAnsi="Lexend"/>
                <w:sz w:val="22"/>
                <w:szCs w:val="22"/>
              </w:rPr>
              <w:t>Providing accurate, well-researched tax guidance to the business, responding to ad hoc queries on a timely basis and supporting change initiatives as required.</w:t>
            </w:r>
          </w:p>
          <w:p w14:paraId="08A6431E" w14:textId="77777777" w:rsidR="00A61190" w:rsidRDefault="00A61190" w:rsidP="00A61190">
            <w:pPr>
              <w:pStyle w:val="ListParagraph"/>
              <w:numPr>
                <w:ilvl w:val="0"/>
                <w:numId w:val="41"/>
              </w:numPr>
              <w:spacing w:after="120"/>
              <w:contextualSpacing w:val="0"/>
              <w:jc w:val="both"/>
              <w:rPr>
                <w:rFonts w:ascii="Lexend" w:hAnsi="Lexend"/>
                <w:sz w:val="22"/>
                <w:szCs w:val="22"/>
              </w:rPr>
            </w:pPr>
            <w:r>
              <w:rPr>
                <w:rFonts w:ascii="Lexend" w:hAnsi="Lexend"/>
                <w:sz w:val="22"/>
                <w:szCs w:val="22"/>
              </w:rPr>
              <w:t>Maintaining an excellent relationship with HMRC and in particular MO’s</w:t>
            </w:r>
            <w:r w:rsidR="009441FF" w:rsidRPr="00A61190">
              <w:rPr>
                <w:rFonts w:ascii="Lexend" w:hAnsi="Lexend"/>
                <w:sz w:val="22"/>
                <w:szCs w:val="22"/>
              </w:rPr>
              <w:t xml:space="preserve"> HMRC CCM</w:t>
            </w:r>
            <w:r>
              <w:rPr>
                <w:rFonts w:ascii="Lexend" w:hAnsi="Lexend"/>
                <w:sz w:val="22"/>
                <w:szCs w:val="22"/>
              </w:rPr>
              <w:t>, and representing MO in its</w:t>
            </w:r>
            <w:r w:rsidR="009441FF" w:rsidRPr="00A61190">
              <w:rPr>
                <w:rFonts w:ascii="Lexend" w:hAnsi="Lexend"/>
                <w:sz w:val="22"/>
                <w:szCs w:val="22"/>
              </w:rPr>
              <w:t xml:space="preserve"> </w:t>
            </w:r>
            <w:r>
              <w:rPr>
                <w:rFonts w:ascii="Lexend" w:hAnsi="Lexend"/>
                <w:sz w:val="22"/>
                <w:szCs w:val="22"/>
              </w:rPr>
              <w:t xml:space="preserve">annual Business Risk Review sessions with HMRC. </w:t>
            </w:r>
          </w:p>
          <w:p w14:paraId="20C7228A" w14:textId="4ADE919B" w:rsidR="00A61190" w:rsidRDefault="00A61190" w:rsidP="00A61190">
            <w:pPr>
              <w:pStyle w:val="ListParagraph"/>
              <w:numPr>
                <w:ilvl w:val="0"/>
                <w:numId w:val="41"/>
              </w:numPr>
              <w:spacing w:after="120"/>
              <w:contextualSpacing w:val="0"/>
              <w:jc w:val="both"/>
              <w:rPr>
                <w:rFonts w:ascii="Lexend" w:hAnsi="Lexend"/>
                <w:sz w:val="22"/>
                <w:szCs w:val="22"/>
              </w:rPr>
            </w:pPr>
            <w:r>
              <w:rPr>
                <w:rFonts w:ascii="Lexend" w:hAnsi="Lexend"/>
                <w:sz w:val="22"/>
                <w:szCs w:val="22"/>
              </w:rPr>
              <w:t>Supporting the annual Senior Accounting Officer (‘SAO’) certification and ensuring this is submitted on time.</w:t>
            </w:r>
          </w:p>
          <w:p w14:paraId="7B00BE76" w14:textId="108C9495" w:rsidR="000D4970" w:rsidRDefault="000D4970" w:rsidP="00A61190">
            <w:pPr>
              <w:pStyle w:val="ListParagraph"/>
              <w:numPr>
                <w:ilvl w:val="0"/>
                <w:numId w:val="41"/>
              </w:numPr>
              <w:spacing w:after="120"/>
              <w:contextualSpacing w:val="0"/>
              <w:jc w:val="both"/>
              <w:rPr>
                <w:rFonts w:ascii="Lexend" w:hAnsi="Lexend"/>
                <w:sz w:val="22"/>
                <w:szCs w:val="22"/>
              </w:rPr>
            </w:pPr>
            <w:r>
              <w:rPr>
                <w:rFonts w:ascii="Lexend" w:hAnsi="Lexend"/>
                <w:sz w:val="22"/>
                <w:szCs w:val="22"/>
              </w:rPr>
              <w:lastRenderedPageBreak/>
              <w:t xml:space="preserve">Ensuring that MO’s Tax Strategy is updated and published to deadline. </w:t>
            </w:r>
          </w:p>
          <w:p w14:paraId="433CC350" w14:textId="5AAD9669" w:rsidR="0023680C" w:rsidRDefault="00A61190" w:rsidP="00A61190">
            <w:pPr>
              <w:pStyle w:val="ListParagraph"/>
              <w:numPr>
                <w:ilvl w:val="0"/>
                <w:numId w:val="41"/>
              </w:numPr>
              <w:spacing w:after="120"/>
              <w:contextualSpacing w:val="0"/>
              <w:jc w:val="both"/>
              <w:rPr>
                <w:rFonts w:ascii="Lexend" w:hAnsi="Lexend"/>
                <w:sz w:val="22"/>
                <w:szCs w:val="22"/>
              </w:rPr>
            </w:pPr>
            <w:r>
              <w:rPr>
                <w:rFonts w:ascii="Lexend" w:hAnsi="Lexend"/>
                <w:sz w:val="22"/>
                <w:szCs w:val="22"/>
              </w:rPr>
              <w:t xml:space="preserve">Ensuring that MO’s VAT Returns are accurate and submitted on time, and that any VAT payments/recoveries are made on a timely basis. </w:t>
            </w:r>
          </w:p>
          <w:p w14:paraId="6D56D016" w14:textId="6FB941FA" w:rsidR="00123903" w:rsidRDefault="00123903" w:rsidP="00123903">
            <w:pPr>
              <w:pStyle w:val="ListParagraph"/>
              <w:numPr>
                <w:ilvl w:val="0"/>
                <w:numId w:val="41"/>
              </w:numPr>
              <w:spacing w:after="120"/>
              <w:contextualSpacing w:val="0"/>
              <w:jc w:val="both"/>
              <w:rPr>
                <w:rFonts w:ascii="Lexend" w:hAnsi="Lexend"/>
                <w:sz w:val="22"/>
                <w:szCs w:val="22"/>
              </w:rPr>
            </w:pPr>
            <w:r>
              <w:rPr>
                <w:rFonts w:ascii="Lexend" w:hAnsi="Lexend"/>
                <w:sz w:val="22"/>
                <w:szCs w:val="22"/>
              </w:rPr>
              <w:t xml:space="preserve">Ensuring that MO’s PSA Returns are accurate and submitted on time, and that any PSA payments are made on a timely basis. </w:t>
            </w:r>
          </w:p>
          <w:p w14:paraId="068452E0" w14:textId="1E1D2698" w:rsidR="00123903" w:rsidRPr="00A61190" w:rsidRDefault="00123903" w:rsidP="00123903">
            <w:pPr>
              <w:pStyle w:val="ListParagraph"/>
              <w:numPr>
                <w:ilvl w:val="0"/>
                <w:numId w:val="41"/>
              </w:numPr>
              <w:spacing w:after="120"/>
              <w:contextualSpacing w:val="0"/>
              <w:jc w:val="both"/>
              <w:rPr>
                <w:rFonts w:ascii="Lexend" w:hAnsi="Lexend"/>
                <w:sz w:val="22"/>
                <w:szCs w:val="22"/>
              </w:rPr>
            </w:pPr>
            <w:r>
              <w:rPr>
                <w:rFonts w:ascii="Lexend" w:hAnsi="Lexend"/>
                <w:sz w:val="22"/>
                <w:szCs w:val="22"/>
              </w:rPr>
              <w:t>Provision of top-quality guidance on payroll taxes as may be needed</w:t>
            </w:r>
            <w:r w:rsidR="006F2906">
              <w:rPr>
                <w:rFonts w:ascii="Lexend" w:hAnsi="Lexend"/>
                <w:sz w:val="22"/>
                <w:szCs w:val="22"/>
              </w:rPr>
              <w:t>.</w:t>
            </w:r>
          </w:p>
          <w:p w14:paraId="6D8047FE" w14:textId="19FD4A35" w:rsidR="00123903" w:rsidRDefault="00123903" w:rsidP="00A61190">
            <w:pPr>
              <w:pStyle w:val="ListParagraph"/>
              <w:numPr>
                <w:ilvl w:val="0"/>
                <w:numId w:val="41"/>
              </w:numPr>
              <w:spacing w:after="120"/>
              <w:contextualSpacing w:val="0"/>
              <w:jc w:val="both"/>
              <w:rPr>
                <w:rFonts w:ascii="Lexend" w:hAnsi="Lexend"/>
                <w:sz w:val="22"/>
                <w:szCs w:val="22"/>
              </w:rPr>
            </w:pPr>
            <w:r>
              <w:rPr>
                <w:rFonts w:ascii="Lexend" w:hAnsi="Lexend"/>
                <w:sz w:val="22"/>
                <w:szCs w:val="22"/>
              </w:rPr>
              <w:t>Providing tax training</w:t>
            </w:r>
            <w:r w:rsidR="000D4970">
              <w:rPr>
                <w:rFonts w:ascii="Lexend" w:hAnsi="Lexend"/>
                <w:sz w:val="22"/>
                <w:szCs w:val="22"/>
              </w:rPr>
              <w:t xml:space="preserve"> and guidance</w:t>
            </w:r>
            <w:r>
              <w:rPr>
                <w:rFonts w:ascii="Lexend" w:hAnsi="Lexend"/>
                <w:sz w:val="22"/>
                <w:szCs w:val="22"/>
              </w:rPr>
              <w:t xml:space="preserve"> to internal stakeholders as required.</w:t>
            </w:r>
          </w:p>
          <w:p w14:paraId="209C9E20" w14:textId="77777777" w:rsidR="000D4970" w:rsidRDefault="000D4970" w:rsidP="000D4970">
            <w:pPr>
              <w:pStyle w:val="ListParagraph"/>
              <w:numPr>
                <w:ilvl w:val="0"/>
                <w:numId w:val="41"/>
              </w:numPr>
              <w:spacing w:after="120"/>
              <w:contextualSpacing w:val="0"/>
              <w:jc w:val="both"/>
              <w:rPr>
                <w:rFonts w:ascii="Lexend" w:hAnsi="Lexend"/>
                <w:sz w:val="22"/>
                <w:szCs w:val="22"/>
              </w:rPr>
            </w:pPr>
            <w:r w:rsidRPr="00A61190">
              <w:rPr>
                <w:rFonts w:ascii="Lexend" w:hAnsi="Lexend"/>
                <w:sz w:val="22"/>
                <w:szCs w:val="22"/>
              </w:rPr>
              <w:t>Maintenance of MO’s Tax Risk Control Framework and associated documentation, including Transfer Pricing documen</w:t>
            </w:r>
            <w:r>
              <w:rPr>
                <w:rFonts w:ascii="Lexend" w:hAnsi="Lexend"/>
                <w:sz w:val="22"/>
                <w:szCs w:val="22"/>
              </w:rPr>
              <w:t>t</w:t>
            </w:r>
            <w:r w:rsidRPr="00A61190">
              <w:rPr>
                <w:rFonts w:ascii="Lexend" w:hAnsi="Lexend"/>
                <w:sz w:val="22"/>
                <w:szCs w:val="22"/>
              </w:rPr>
              <w:t>ation.</w:t>
            </w:r>
          </w:p>
          <w:p w14:paraId="42BF3A21" w14:textId="171AA885" w:rsidR="00123903" w:rsidRDefault="00123903" w:rsidP="00A61190">
            <w:pPr>
              <w:pStyle w:val="ListParagraph"/>
              <w:numPr>
                <w:ilvl w:val="0"/>
                <w:numId w:val="41"/>
              </w:numPr>
              <w:spacing w:after="120"/>
              <w:contextualSpacing w:val="0"/>
              <w:jc w:val="both"/>
              <w:rPr>
                <w:rFonts w:ascii="Lexend" w:hAnsi="Lexend"/>
                <w:sz w:val="22"/>
                <w:szCs w:val="22"/>
              </w:rPr>
            </w:pPr>
            <w:r>
              <w:rPr>
                <w:rFonts w:ascii="Lexend" w:hAnsi="Lexend"/>
                <w:sz w:val="22"/>
                <w:szCs w:val="22"/>
              </w:rPr>
              <w:t xml:space="preserve">Proactive identification of upcoming developments in tax rules; assessment of the impact of such on MO; </w:t>
            </w:r>
            <w:r w:rsidR="000D4970">
              <w:rPr>
                <w:rFonts w:ascii="Lexend" w:hAnsi="Lexend"/>
                <w:sz w:val="22"/>
                <w:szCs w:val="22"/>
              </w:rPr>
              <w:t>engagement</w:t>
            </w:r>
            <w:r>
              <w:rPr>
                <w:rFonts w:ascii="Lexend" w:hAnsi="Lexend"/>
                <w:sz w:val="22"/>
                <w:szCs w:val="22"/>
              </w:rPr>
              <w:t xml:space="preserve"> with key internal stakeholders affected</w:t>
            </w:r>
            <w:r w:rsidR="000D4970">
              <w:rPr>
                <w:rFonts w:ascii="Lexend" w:hAnsi="Lexend"/>
                <w:sz w:val="22"/>
                <w:szCs w:val="22"/>
              </w:rPr>
              <w:t>; and ensuring that MO implements an appropriate response on a timely basis</w:t>
            </w:r>
            <w:r>
              <w:rPr>
                <w:rFonts w:ascii="Lexend" w:hAnsi="Lexend"/>
                <w:sz w:val="22"/>
                <w:szCs w:val="22"/>
              </w:rPr>
              <w:t xml:space="preserve">. </w:t>
            </w:r>
          </w:p>
          <w:p w14:paraId="0B1C9B96" w14:textId="3349E873" w:rsidR="000D4970" w:rsidRDefault="000D4970" w:rsidP="00A61190">
            <w:pPr>
              <w:pStyle w:val="ListParagraph"/>
              <w:numPr>
                <w:ilvl w:val="0"/>
                <w:numId w:val="41"/>
              </w:numPr>
              <w:spacing w:after="120"/>
              <w:contextualSpacing w:val="0"/>
              <w:jc w:val="both"/>
              <w:rPr>
                <w:rFonts w:ascii="Lexend" w:hAnsi="Lexend"/>
                <w:sz w:val="22"/>
                <w:szCs w:val="22"/>
              </w:rPr>
            </w:pPr>
            <w:r>
              <w:rPr>
                <w:rFonts w:ascii="Lexend" w:hAnsi="Lexend"/>
                <w:sz w:val="22"/>
                <w:szCs w:val="22"/>
              </w:rPr>
              <w:t>Assessing the impact on MO of Spring and Autumn UK Government Budgets and communicating that to relevant internal stakeholders.</w:t>
            </w:r>
          </w:p>
          <w:p w14:paraId="55913555" w14:textId="58C47963" w:rsidR="000D4970" w:rsidRDefault="00865F90" w:rsidP="00A61190">
            <w:pPr>
              <w:pStyle w:val="ListParagraph"/>
              <w:numPr>
                <w:ilvl w:val="0"/>
                <w:numId w:val="41"/>
              </w:numPr>
              <w:spacing w:after="120"/>
              <w:contextualSpacing w:val="0"/>
              <w:jc w:val="both"/>
              <w:rPr>
                <w:rFonts w:ascii="Lexend" w:hAnsi="Lexend"/>
                <w:sz w:val="22"/>
                <w:szCs w:val="22"/>
              </w:rPr>
            </w:pPr>
            <w:r>
              <w:rPr>
                <w:rFonts w:ascii="Lexend" w:hAnsi="Lexend"/>
                <w:sz w:val="22"/>
                <w:szCs w:val="22"/>
              </w:rPr>
              <w:t xml:space="preserve">Supporting </w:t>
            </w:r>
            <w:r w:rsidR="000D4970">
              <w:rPr>
                <w:rFonts w:ascii="Lexend" w:hAnsi="Lexend"/>
                <w:sz w:val="22"/>
                <w:szCs w:val="22"/>
              </w:rPr>
              <w:t xml:space="preserve">engagements with external tax consultants who may be engaged as needed. </w:t>
            </w:r>
          </w:p>
          <w:p w14:paraId="3FF51283" w14:textId="74A69C82" w:rsidR="00865F90" w:rsidRPr="00266CFD" w:rsidRDefault="00865F90" w:rsidP="00865F90">
            <w:pPr>
              <w:jc w:val="both"/>
              <w:rPr>
                <w:rFonts w:ascii="Lexend" w:hAnsi="Lexend"/>
                <w:bCs/>
                <w:color w:val="808080" w:themeColor="background1" w:themeShade="80"/>
                <w:sz w:val="22"/>
                <w:szCs w:val="22"/>
              </w:rPr>
            </w:pPr>
          </w:p>
        </w:tc>
      </w:tr>
      <w:tr w:rsidR="00005A45" w14:paraId="167886A9" w14:textId="77777777" w:rsidTr="00261AC7">
        <w:tc>
          <w:tcPr>
            <w:tcW w:w="9026" w:type="dxa"/>
            <w:gridSpan w:val="2"/>
          </w:tcPr>
          <w:p w14:paraId="0D4E77FD" w14:textId="74C37230" w:rsidR="00005A45" w:rsidRDefault="00005A45" w:rsidP="009441FF">
            <w:pPr>
              <w:jc w:val="both"/>
              <w:rPr>
                <w:rFonts w:ascii="Lexend" w:hAnsi="Lexend"/>
                <w:b/>
                <w:color w:val="1739E5"/>
                <w:szCs w:val="24"/>
              </w:rPr>
            </w:pPr>
            <w:r w:rsidRPr="008C2EEB">
              <w:rPr>
                <w:rFonts w:ascii="Lexend" w:hAnsi="Lexend"/>
                <w:b/>
                <w:color w:val="1739E5"/>
                <w:szCs w:val="24"/>
              </w:rPr>
              <w:lastRenderedPageBreak/>
              <w:t>About you</w:t>
            </w:r>
          </w:p>
          <w:p w14:paraId="5969A420" w14:textId="77777777" w:rsidR="00C85C00" w:rsidRPr="005C58E7" w:rsidRDefault="00C85C00" w:rsidP="009441FF">
            <w:pPr>
              <w:jc w:val="both"/>
              <w:rPr>
                <w:rFonts w:ascii="Lexend" w:hAnsi="Lexend"/>
                <w:b/>
                <w:color w:val="1739E5"/>
                <w:szCs w:val="24"/>
              </w:rPr>
            </w:pPr>
          </w:p>
          <w:p w14:paraId="6FF51456" w14:textId="3C94C557" w:rsidR="00E01793" w:rsidRDefault="00C85C00" w:rsidP="009441FF">
            <w:pPr>
              <w:jc w:val="both"/>
              <w:rPr>
                <w:rFonts w:ascii="Lexend" w:hAnsi="Lexend"/>
                <w:sz w:val="22"/>
                <w:szCs w:val="22"/>
              </w:rPr>
            </w:pPr>
            <w:r w:rsidRPr="00C85C00">
              <w:rPr>
                <w:rFonts w:ascii="Lexend" w:hAnsi="Lexend"/>
                <w:sz w:val="22"/>
                <w:szCs w:val="22"/>
              </w:rPr>
              <w:t>You’ll be passionat</w:t>
            </w:r>
            <w:r>
              <w:rPr>
                <w:rFonts w:ascii="Lexend" w:hAnsi="Lexend"/>
                <w:sz w:val="22"/>
                <w:szCs w:val="22"/>
              </w:rPr>
              <w:t xml:space="preserve">e </w:t>
            </w:r>
            <w:r w:rsidR="006F2906">
              <w:rPr>
                <w:rFonts w:ascii="Lexend" w:hAnsi="Lexend"/>
                <w:sz w:val="22"/>
                <w:szCs w:val="22"/>
              </w:rPr>
              <w:t xml:space="preserve">and </w:t>
            </w:r>
            <w:r w:rsidR="006F2906" w:rsidRPr="00C85C00">
              <w:rPr>
                <w:rFonts w:ascii="Lexend" w:hAnsi="Lexend"/>
                <w:sz w:val="22"/>
                <w:szCs w:val="22"/>
              </w:rPr>
              <w:t>confident in producing accurate information</w:t>
            </w:r>
            <w:r w:rsidR="006F2906" w:rsidRPr="00C85C00" w:rsidDel="006F2906">
              <w:rPr>
                <w:rFonts w:ascii="Lexend" w:hAnsi="Lexend"/>
                <w:sz w:val="22"/>
                <w:szCs w:val="22"/>
              </w:rPr>
              <w:t xml:space="preserve"> </w:t>
            </w:r>
            <w:r w:rsidR="006F2906">
              <w:rPr>
                <w:rFonts w:ascii="Lexend" w:hAnsi="Lexend"/>
                <w:sz w:val="22"/>
                <w:szCs w:val="22"/>
              </w:rPr>
              <w:t>within expected timescales.</w:t>
            </w:r>
            <w:r w:rsidR="00116D44">
              <w:rPr>
                <w:rFonts w:ascii="Lexend" w:hAnsi="Lexend"/>
                <w:sz w:val="22"/>
                <w:szCs w:val="22"/>
              </w:rPr>
              <w:t xml:space="preserve"> You will have</w:t>
            </w:r>
            <w:r w:rsidRPr="00C85C00">
              <w:rPr>
                <w:rFonts w:ascii="Lexend" w:hAnsi="Lexend"/>
                <w:sz w:val="22"/>
                <w:szCs w:val="22"/>
              </w:rPr>
              <w:t xml:space="preserve"> a high sense of personal responsibility</w:t>
            </w:r>
            <w:r w:rsidR="00116D44">
              <w:rPr>
                <w:rFonts w:ascii="Lexend" w:hAnsi="Lexend"/>
                <w:sz w:val="22"/>
                <w:szCs w:val="22"/>
              </w:rPr>
              <w:t xml:space="preserve"> and</w:t>
            </w:r>
            <w:r w:rsidRPr="00C85C00">
              <w:rPr>
                <w:rFonts w:ascii="Lexend" w:hAnsi="Lexend"/>
                <w:sz w:val="22"/>
                <w:szCs w:val="22"/>
              </w:rPr>
              <w:t xml:space="preserve"> a welcoming approach to new ideas and questions. You’ll have strong time management skills and </w:t>
            </w:r>
            <w:r w:rsidR="00116D44">
              <w:rPr>
                <w:rFonts w:ascii="Lexend" w:hAnsi="Lexend"/>
                <w:sz w:val="22"/>
                <w:szCs w:val="22"/>
              </w:rPr>
              <w:t>the ability to</w:t>
            </w:r>
            <w:r w:rsidRPr="00C85C00">
              <w:rPr>
                <w:rFonts w:ascii="Lexend" w:hAnsi="Lexend"/>
                <w:sz w:val="22"/>
                <w:szCs w:val="22"/>
              </w:rPr>
              <w:t xml:space="preserve"> oversee complex tasks </w:t>
            </w:r>
            <w:r w:rsidR="006F2906">
              <w:rPr>
                <w:rFonts w:ascii="Lexend" w:hAnsi="Lexend"/>
                <w:sz w:val="22"/>
                <w:szCs w:val="22"/>
              </w:rPr>
              <w:t>whilst</w:t>
            </w:r>
            <w:r w:rsidR="006F2906" w:rsidRPr="00C85C00">
              <w:rPr>
                <w:rFonts w:ascii="Lexend" w:hAnsi="Lexend"/>
                <w:sz w:val="22"/>
                <w:szCs w:val="22"/>
              </w:rPr>
              <w:t xml:space="preserve"> </w:t>
            </w:r>
            <w:r w:rsidRPr="00C85C00">
              <w:rPr>
                <w:rFonts w:ascii="Lexend" w:hAnsi="Lexend"/>
                <w:sz w:val="22"/>
                <w:szCs w:val="22"/>
              </w:rPr>
              <w:t xml:space="preserve">maximising productivity and </w:t>
            </w:r>
            <w:r w:rsidR="006F2906">
              <w:rPr>
                <w:rFonts w:ascii="Lexend" w:hAnsi="Lexend"/>
                <w:sz w:val="22"/>
                <w:szCs w:val="22"/>
              </w:rPr>
              <w:t xml:space="preserve">paying </w:t>
            </w:r>
            <w:r w:rsidRPr="00C85C00">
              <w:rPr>
                <w:rFonts w:ascii="Lexend" w:hAnsi="Lexend"/>
                <w:sz w:val="22"/>
                <w:szCs w:val="22"/>
              </w:rPr>
              <w:t xml:space="preserve">attention to detail. </w:t>
            </w:r>
            <w:r w:rsidR="00116D44">
              <w:rPr>
                <w:rFonts w:ascii="Lexend" w:hAnsi="Lexend"/>
                <w:sz w:val="22"/>
                <w:szCs w:val="22"/>
              </w:rPr>
              <w:t>E</w:t>
            </w:r>
            <w:r w:rsidRPr="00C85C00">
              <w:rPr>
                <w:rFonts w:ascii="Lexend" w:hAnsi="Lexend"/>
                <w:sz w:val="22"/>
                <w:szCs w:val="22"/>
              </w:rPr>
              <w:t>xcellent people skills</w:t>
            </w:r>
            <w:r w:rsidR="00116D44">
              <w:rPr>
                <w:rFonts w:ascii="Lexend" w:hAnsi="Lexend"/>
                <w:sz w:val="22"/>
                <w:szCs w:val="22"/>
              </w:rPr>
              <w:t xml:space="preserve"> and</w:t>
            </w:r>
            <w:r w:rsidRPr="00C85C00">
              <w:rPr>
                <w:rFonts w:ascii="Lexend" w:hAnsi="Lexend"/>
                <w:sz w:val="22"/>
                <w:szCs w:val="22"/>
              </w:rPr>
              <w:t xml:space="preserve"> effective communication </w:t>
            </w:r>
            <w:r w:rsidR="00116D44">
              <w:rPr>
                <w:rFonts w:ascii="Lexend" w:hAnsi="Lexend"/>
                <w:sz w:val="22"/>
                <w:szCs w:val="22"/>
              </w:rPr>
              <w:t>are also</w:t>
            </w:r>
            <w:r w:rsidRPr="00C85C00">
              <w:rPr>
                <w:rFonts w:ascii="Lexend" w:hAnsi="Lexend"/>
                <w:sz w:val="22"/>
                <w:szCs w:val="22"/>
              </w:rPr>
              <w:t xml:space="preserve"> key to the role and the team. </w:t>
            </w:r>
          </w:p>
          <w:p w14:paraId="4F6FFE38" w14:textId="693B0B1E" w:rsidR="00C85C00" w:rsidRPr="00005A45" w:rsidRDefault="00C85C00" w:rsidP="009441FF">
            <w:pPr>
              <w:jc w:val="both"/>
              <w:rPr>
                <w:rFonts w:ascii="Lexend" w:hAnsi="Lexend"/>
                <w:bCs/>
                <w:sz w:val="22"/>
                <w:szCs w:val="22"/>
              </w:rPr>
            </w:pPr>
          </w:p>
        </w:tc>
      </w:tr>
      <w:tr w:rsidR="00005A45" w14:paraId="0FF29B93" w14:textId="77777777" w:rsidTr="00261AC7">
        <w:tc>
          <w:tcPr>
            <w:tcW w:w="9026" w:type="dxa"/>
            <w:gridSpan w:val="2"/>
          </w:tcPr>
          <w:p w14:paraId="445EDDBC" w14:textId="25AE3CBE" w:rsidR="003F4018" w:rsidRPr="008C2EEB" w:rsidRDefault="00C85C00" w:rsidP="009441FF">
            <w:pPr>
              <w:jc w:val="both"/>
              <w:rPr>
                <w:rFonts w:ascii="Lexend" w:hAnsi="Lexend"/>
                <w:b/>
                <w:color w:val="1739E5"/>
                <w:szCs w:val="24"/>
              </w:rPr>
            </w:pPr>
            <w:r>
              <w:rPr>
                <w:rFonts w:ascii="Lexend" w:hAnsi="Lexend"/>
                <w:b/>
                <w:color w:val="1739E5"/>
                <w:szCs w:val="24"/>
              </w:rPr>
              <w:t>Minimum criteria</w:t>
            </w:r>
          </w:p>
          <w:p w14:paraId="43ABF170" w14:textId="77777777" w:rsidR="00266CFD" w:rsidRDefault="00266CFD" w:rsidP="009441FF">
            <w:pPr>
              <w:jc w:val="both"/>
              <w:rPr>
                <w:rFonts w:ascii="Lexend" w:hAnsi="Lexend"/>
                <w:b/>
                <w:bCs/>
                <w:sz w:val="22"/>
                <w:szCs w:val="22"/>
              </w:rPr>
            </w:pPr>
          </w:p>
          <w:p w14:paraId="0AAFC63D" w14:textId="77777777" w:rsidR="00C85C00" w:rsidRPr="00C85C00" w:rsidRDefault="00266CFD" w:rsidP="005A1E31">
            <w:pPr>
              <w:pStyle w:val="ListParagraph"/>
              <w:numPr>
                <w:ilvl w:val="0"/>
                <w:numId w:val="45"/>
              </w:numPr>
              <w:spacing w:after="120"/>
              <w:contextualSpacing w:val="0"/>
              <w:jc w:val="both"/>
              <w:rPr>
                <w:rFonts w:ascii="Lexend" w:hAnsi="Lexend"/>
                <w:sz w:val="22"/>
                <w:szCs w:val="22"/>
              </w:rPr>
            </w:pPr>
            <w:r w:rsidRPr="00C85C00">
              <w:rPr>
                <w:rFonts w:ascii="Lexend" w:hAnsi="Lexend"/>
                <w:sz w:val="22"/>
                <w:szCs w:val="22"/>
              </w:rPr>
              <w:t>Appropriate Accounting / Tax Accounting qualification (e.g. ACA / CIMA or equivalent) with significant PQE</w:t>
            </w:r>
          </w:p>
          <w:p w14:paraId="3CD2931A" w14:textId="77777777" w:rsidR="00C85C00" w:rsidRPr="00C85C00" w:rsidRDefault="00C85C00" w:rsidP="005A1E31">
            <w:pPr>
              <w:pStyle w:val="ListParagraph"/>
              <w:numPr>
                <w:ilvl w:val="0"/>
                <w:numId w:val="45"/>
              </w:numPr>
              <w:spacing w:after="120"/>
              <w:contextualSpacing w:val="0"/>
              <w:jc w:val="both"/>
              <w:rPr>
                <w:rFonts w:ascii="Lexend" w:hAnsi="Lexend"/>
                <w:sz w:val="22"/>
                <w:szCs w:val="22"/>
              </w:rPr>
            </w:pPr>
            <w:r w:rsidRPr="00C85C00">
              <w:rPr>
                <w:rFonts w:ascii="Lexend" w:hAnsi="Lexend"/>
                <w:sz w:val="22"/>
                <w:szCs w:val="22"/>
              </w:rPr>
              <w:t>Demonstrable understanding</w:t>
            </w:r>
            <w:r w:rsidR="00266CFD" w:rsidRPr="00C85C00">
              <w:rPr>
                <w:rFonts w:ascii="Lexend" w:hAnsi="Lexend"/>
                <w:sz w:val="22"/>
                <w:szCs w:val="22"/>
              </w:rPr>
              <w:t xml:space="preserve"> of UK Corporation Tax &amp; VAT</w:t>
            </w:r>
          </w:p>
          <w:p w14:paraId="18003A26" w14:textId="5E995EB1" w:rsidR="00266CFD" w:rsidRPr="00C85C00" w:rsidRDefault="00266CFD" w:rsidP="005A1E31">
            <w:pPr>
              <w:pStyle w:val="ListParagraph"/>
              <w:numPr>
                <w:ilvl w:val="0"/>
                <w:numId w:val="45"/>
              </w:numPr>
              <w:spacing w:after="120"/>
              <w:contextualSpacing w:val="0"/>
              <w:jc w:val="both"/>
              <w:rPr>
                <w:rFonts w:ascii="Lexend" w:hAnsi="Lexend"/>
                <w:sz w:val="22"/>
                <w:szCs w:val="22"/>
              </w:rPr>
            </w:pPr>
            <w:r w:rsidRPr="00C85C00">
              <w:rPr>
                <w:rFonts w:ascii="Lexend" w:hAnsi="Lexend"/>
                <w:sz w:val="22"/>
                <w:szCs w:val="22"/>
              </w:rPr>
              <w:t>Strong mathematical, analytical and problem</w:t>
            </w:r>
            <w:r w:rsidR="00F549CB" w:rsidRPr="00C85C00">
              <w:rPr>
                <w:rFonts w:ascii="Lexend" w:hAnsi="Lexend"/>
                <w:sz w:val="22"/>
                <w:szCs w:val="22"/>
              </w:rPr>
              <w:t>-</w:t>
            </w:r>
            <w:r w:rsidRPr="00C85C00">
              <w:rPr>
                <w:rFonts w:ascii="Lexend" w:hAnsi="Lexend"/>
                <w:sz w:val="22"/>
                <w:szCs w:val="22"/>
              </w:rPr>
              <w:t>solving skills</w:t>
            </w:r>
          </w:p>
          <w:p w14:paraId="75CFA8EF" w14:textId="77777777" w:rsidR="00F549CB" w:rsidRPr="00C85C00" w:rsidRDefault="00F549CB" w:rsidP="005A1E31">
            <w:pPr>
              <w:pStyle w:val="ListParagraph"/>
              <w:numPr>
                <w:ilvl w:val="0"/>
                <w:numId w:val="45"/>
              </w:numPr>
              <w:spacing w:after="120"/>
              <w:contextualSpacing w:val="0"/>
              <w:jc w:val="both"/>
              <w:rPr>
                <w:rFonts w:ascii="Lexend" w:hAnsi="Lexend"/>
                <w:sz w:val="22"/>
                <w:szCs w:val="22"/>
              </w:rPr>
            </w:pPr>
            <w:r w:rsidRPr="00C85C00">
              <w:rPr>
                <w:rFonts w:ascii="Lexend" w:hAnsi="Lexend"/>
                <w:sz w:val="22"/>
                <w:szCs w:val="22"/>
              </w:rPr>
              <w:t>Excellent written and verbal communication skills</w:t>
            </w:r>
          </w:p>
          <w:p w14:paraId="004DC598" w14:textId="77777777" w:rsidR="00C85C00" w:rsidRPr="00C85C00" w:rsidRDefault="00C85C00" w:rsidP="005A1E31">
            <w:pPr>
              <w:pStyle w:val="ListParagraph"/>
              <w:numPr>
                <w:ilvl w:val="0"/>
                <w:numId w:val="45"/>
              </w:numPr>
              <w:spacing w:after="120"/>
              <w:contextualSpacing w:val="0"/>
              <w:jc w:val="both"/>
              <w:rPr>
                <w:rFonts w:ascii="Lexend" w:hAnsi="Lexend"/>
                <w:sz w:val="22"/>
                <w:szCs w:val="22"/>
              </w:rPr>
            </w:pPr>
            <w:r w:rsidRPr="00C85C00">
              <w:rPr>
                <w:rFonts w:ascii="Lexend" w:hAnsi="Lexend"/>
                <w:sz w:val="22"/>
                <w:szCs w:val="22"/>
              </w:rPr>
              <w:t>Experience</w:t>
            </w:r>
            <w:r w:rsidR="00F549CB" w:rsidRPr="00C85C00">
              <w:rPr>
                <w:rFonts w:ascii="Lexend" w:hAnsi="Lexend"/>
                <w:sz w:val="22"/>
                <w:szCs w:val="22"/>
              </w:rPr>
              <w:t xml:space="preserve"> in </w:t>
            </w:r>
            <w:r w:rsidRPr="00C85C00">
              <w:rPr>
                <w:rFonts w:ascii="Lexend" w:hAnsi="Lexend"/>
                <w:sz w:val="22"/>
                <w:szCs w:val="22"/>
              </w:rPr>
              <w:t>working</w:t>
            </w:r>
            <w:r w:rsidR="00F549CB" w:rsidRPr="00C85C00">
              <w:rPr>
                <w:rFonts w:ascii="Lexend" w:hAnsi="Lexend"/>
                <w:sz w:val="22"/>
                <w:szCs w:val="22"/>
              </w:rPr>
              <w:t xml:space="preserve"> with colleagues at all levels from across the business, adapting communication approach to ensure the stakeholders have a clear understanding</w:t>
            </w:r>
          </w:p>
          <w:p w14:paraId="5ED05A82" w14:textId="77777777" w:rsidR="008B5EC7" w:rsidRPr="005A1E31" w:rsidRDefault="00C85C00" w:rsidP="00261AC7">
            <w:pPr>
              <w:pStyle w:val="ListParagraph"/>
              <w:numPr>
                <w:ilvl w:val="0"/>
                <w:numId w:val="45"/>
              </w:numPr>
              <w:spacing w:after="120"/>
              <w:ind w:left="357" w:hanging="357"/>
              <w:contextualSpacing w:val="0"/>
              <w:jc w:val="both"/>
              <w:rPr>
                <w:rFonts w:ascii="Lexend" w:hAnsi="Lexend"/>
                <w:sz w:val="22"/>
                <w:szCs w:val="22"/>
              </w:rPr>
            </w:pPr>
            <w:r w:rsidRPr="00C85C00">
              <w:rPr>
                <w:rFonts w:ascii="Lexend" w:hAnsi="Lexend"/>
                <w:sz w:val="22"/>
                <w:szCs w:val="22"/>
              </w:rPr>
              <w:t>Experience in</w:t>
            </w:r>
            <w:r w:rsidR="00F549CB" w:rsidRPr="00C85C00">
              <w:rPr>
                <w:rFonts w:ascii="Lexend" w:hAnsi="Lexend"/>
                <w:sz w:val="22"/>
                <w:szCs w:val="22"/>
              </w:rPr>
              <w:t xml:space="preserve"> communicat</w:t>
            </w:r>
            <w:r w:rsidRPr="00C85C00">
              <w:rPr>
                <w:rFonts w:ascii="Lexend" w:hAnsi="Lexend"/>
                <w:sz w:val="22"/>
                <w:szCs w:val="22"/>
              </w:rPr>
              <w:t>ing</w:t>
            </w:r>
            <w:r w:rsidR="00F549CB" w:rsidRPr="00C85C00">
              <w:rPr>
                <w:rFonts w:ascii="Lexend" w:hAnsi="Lexend"/>
                <w:sz w:val="22"/>
                <w:szCs w:val="22"/>
              </w:rPr>
              <w:t xml:space="preserve"> complex tax / financial information to a wide range of audiences</w:t>
            </w:r>
            <w:r w:rsidR="00F549CB" w:rsidRPr="00C85C00">
              <w:rPr>
                <w:rFonts w:ascii="Lexend" w:hAnsi="Lexend"/>
                <w:bCs/>
                <w:color w:val="808080" w:themeColor="background1" w:themeShade="80"/>
                <w:sz w:val="22"/>
                <w:szCs w:val="22"/>
              </w:rPr>
              <w:t>.</w:t>
            </w:r>
          </w:p>
          <w:p w14:paraId="13466DE5" w14:textId="47B11920" w:rsidR="00116D44" w:rsidRPr="005A1E31" w:rsidRDefault="00116D44" w:rsidP="00261AC7">
            <w:pPr>
              <w:pStyle w:val="ListParagraph"/>
              <w:numPr>
                <w:ilvl w:val="0"/>
                <w:numId w:val="45"/>
              </w:numPr>
              <w:jc w:val="both"/>
              <w:rPr>
                <w:rFonts w:ascii="Lexend" w:hAnsi="Lexend"/>
                <w:sz w:val="22"/>
                <w:szCs w:val="22"/>
              </w:rPr>
            </w:pPr>
            <w:r w:rsidRPr="000663FF">
              <w:rPr>
                <w:rFonts w:ascii="Lexend" w:hAnsi="Lexend"/>
                <w:sz w:val="22"/>
                <w:szCs w:val="22"/>
              </w:rPr>
              <w:t>Excellent Microsoft Office suite skills</w:t>
            </w:r>
            <w:r>
              <w:rPr>
                <w:rFonts w:ascii="Lexend" w:hAnsi="Lexend"/>
                <w:sz w:val="22"/>
                <w:szCs w:val="22"/>
              </w:rPr>
              <w:t xml:space="preserve"> &amp; advanced MS Excel skills</w:t>
            </w:r>
          </w:p>
        </w:tc>
      </w:tr>
      <w:tr w:rsidR="00005A45" w14:paraId="4CB02243" w14:textId="77777777" w:rsidTr="00261AC7">
        <w:tc>
          <w:tcPr>
            <w:tcW w:w="9026" w:type="dxa"/>
            <w:gridSpan w:val="2"/>
          </w:tcPr>
          <w:p w14:paraId="639B0232" w14:textId="7BCC3D69" w:rsidR="0023680C" w:rsidRPr="00005A45" w:rsidRDefault="0023680C" w:rsidP="009441FF">
            <w:pPr>
              <w:jc w:val="both"/>
              <w:rPr>
                <w:rFonts w:ascii="Lexend" w:hAnsi="Lexend"/>
                <w:bCs/>
                <w:sz w:val="22"/>
                <w:szCs w:val="22"/>
              </w:rPr>
            </w:pPr>
          </w:p>
        </w:tc>
      </w:tr>
    </w:tbl>
    <w:p w14:paraId="09B7698F" w14:textId="44F8649C" w:rsidR="00261AC7" w:rsidRDefault="00261AC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107"/>
      </w:tblGrid>
      <w:tr w:rsidR="0000448C" w14:paraId="274886EB" w14:textId="77777777" w:rsidTr="00261AC7">
        <w:trPr>
          <w:gridAfter w:val="1"/>
          <w:wAfter w:w="107" w:type="dxa"/>
        </w:trPr>
        <w:tc>
          <w:tcPr>
            <w:tcW w:w="9639" w:type="dxa"/>
          </w:tcPr>
          <w:p w14:paraId="5FADBD6A" w14:textId="72037549" w:rsidR="0023680C" w:rsidRPr="003D1EDA" w:rsidRDefault="004E251E" w:rsidP="009441FF">
            <w:pPr>
              <w:jc w:val="both"/>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61AC7">
        <w:trPr>
          <w:gridAfter w:val="1"/>
          <w:wAfter w:w="107" w:type="dxa"/>
        </w:trPr>
        <w:tc>
          <w:tcPr>
            <w:tcW w:w="9639" w:type="dxa"/>
          </w:tcPr>
          <w:p w14:paraId="5A314588" w14:textId="77777777" w:rsidR="009441FF" w:rsidRDefault="009441FF" w:rsidP="009441FF">
            <w:pPr>
              <w:jc w:val="both"/>
              <w:rPr>
                <w:rFonts w:ascii="Lexend" w:hAnsi="Lexend" w:cstheme="minorHAnsi"/>
                <w:b/>
                <w:sz w:val="22"/>
                <w:szCs w:val="22"/>
              </w:rPr>
            </w:pPr>
          </w:p>
          <w:p w14:paraId="7546E646" w14:textId="77777777" w:rsidR="00F549CB" w:rsidRDefault="004E251E" w:rsidP="009441FF">
            <w:pPr>
              <w:jc w:val="both"/>
              <w:rPr>
                <w:rFonts w:ascii="Lexend" w:hAnsi="Lexend" w:cstheme="minorHAnsi"/>
                <w:b/>
                <w:sz w:val="22"/>
                <w:szCs w:val="22"/>
              </w:rPr>
            </w:pPr>
            <w:r w:rsidRPr="00FB1D01">
              <w:rPr>
                <w:rFonts w:ascii="Lexend" w:hAnsi="Lexend" w:cstheme="minorHAnsi"/>
                <w:b/>
                <w:sz w:val="22"/>
                <w:szCs w:val="22"/>
              </w:rPr>
              <w:t>About us</w:t>
            </w:r>
          </w:p>
          <w:p w14:paraId="7C3F0CEA" w14:textId="3BFD09D6" w:rsidR="00E42388" w:rsidRPr="006D5FD0" w:rsidRDefault="00F97F57" w:rsidP="009441FF">
            <w:pPr>
              <w:jc w:val="both"/>
              <w:rPr>
                <w:rFonts w:ascii="Lexend" w:hAnsi="Lexend" w:cstheme="minorHAnsi"/>
                <w:b/>
                <w:sz w:val="22"/>
                <w:szCs w:val="22"/>
              </w:rPr>
            </w:pPr>
            <w:r w:rsidRPr="005765EC">
              <w:rPr>
                <w:rFonts w:ascii="Lexend" w:hAnsi="Lexend"/>
                <w:sz w:val="22"/>
                <w:szCs w:val="22"/>
                <w:shd w:val="clear" w:color="auto" w:fill="FFFFFF"/>
              </w:rPr>
              <w:t>We’re the</w:t>
            </w:r>
            <w:r w:rsidR="00E42388" w:rsidRPr="005765EC">
              <w:rPr>
                <w:rFonts w:ascii="Lexend" w:hAnsi="Lexend"/>
                <w:sz w:val="22"/>
                <w:szCs w:val="22"/>
                <w:shd w:val="clear" w:color="auto" w:fill="FFFFFF"/>
              </w:rPr>
              <w:t xml:space="preserve"> company behind the </w:t>
            </w:r>
            <w:r w:rsidR="006C5982" w:rsidRPr="005765EC">
              <w:rPr>
                <w:rFonts w:ascii="Lexend" w:hAnsi="Lexend"/>
                <w:sz w:val="22"/>
                <w:szCs w:val="22"/>
                <w:shd w:val="clear" w:color="auto" w:fill="FFFFFF"/>
              </w:rPr>
              <w:t xml:space="preserve">Motability Scheme. </w:t>
            </w:r>
            <w:r w:rsidR="00E42388" w:rsidRPr="005765EC">
              <w:rPr>
                <w:rFonts w:ascii="Lexend" w:hAnsi="Lexend"/>
                <w:sz w:val="22"/>
                <w:szCs w:val="22"/>
                <w:shd w:val="clear" w:color="auto" w:fill="FFFFFF"/>
              </w:rPr>
              <w:t xml:space="preserve">We </w:t>
            </w:r>
            <w:r w:rsidR="00E42388" w:rsidRPr="005765EC">
              <w:rPr>
                <w:rFonts w:ascii="Lexend" w:hAnsi="Lexend"/>
                <w:sz w:val="22"/>
                <w:szCs w:val="22"/>
              </w:rPr>
              <w:t xml:space="preserve">exist to deliver smart, sustainable solutions that improve our customers’ mobility in a fast-changing world. </w:t>
            </w:r>
            <w:r w:rsidR="00D556D1" w:rsidRPr="005765EC">
              <w:rPr>
                <w:rFonts w:ascii="Lexend" w:hAnsi="Lexend"/>
                <w:sz w:val="22"/>
                <w:szCs w:val="22"/>
              </w:rPr>
              <w:t xml:space="preserve">We’re </w:t>
            </w:r>
            <w:r w:rsidR="00E42388" w:rsidRPr="005765EC">
              <w:rPr>
                <w:rFonts w:ascii="Lexend" w:hAnsi="Lexend"/>
                <w:sz w:val="22"/>
                <w:szCs w:val="22"/>
                <w:shd w:val="clear" w:color="auto" w:fill="FFFFFF"/>
              </w:rPr>
              <w:t>the UK’s largest car leasing company</w:t>
            </w:r>
            <w:r w:rsidR="00D556D1" w:rsidRPr="005765EC">
              <w:rPr>
                <w:rFonts w:ascii="Lexend" w:hAnsi="Lexend"/>
                <w:sz w:val="22"/>
                <w:szCs w:val="22"/>
                <w:shd w:val="clear" w:color="auto" w:fill="FFFFFF"/>
              </w:rPr>
              <w:t xml:space="preserve"> and</w:t>
            </w:r>
            <w:r w:rsidR="00E42388" w:rsidRPr="005765EC">
              <w:rPr>
                <w:rFonts w:ascii="Lexend" w:hAnsi="Lexend"/>
                <w:sz w:val="22"/>
                <w:szCs w:val="22"/>
                <w:shd w:val="clear" w:color="auto" w:fill="FFFFFF"/>
              </w:rPr>
              <w:t xml:space="preserve"> we help over 7</w:t>
            </w:r>
            <w:r w:rsidR="00555F99" w:rsidRPr="005765EC">
              <w:rPr>
                <w:rFonts w:ascii="Lexend" w:hAnsi="Lexend"/>
                <w:sz w:val="22"/>
                <w:szCs w:val="22"/>
                <w:shd w:val="clear" w:color="auto" w:fill="FFFFFF"/>
              </w:rPr>
              <w:t>5</w:t>
            </w:r>
            <w:r w:rsidR="00E42388" w:rsidRPr="005765EC">
              <w:rPr>
                <w:rFonts w:ascii="Lexend" w:hAnsi="Lexend"/>
                <w:sz w:val="22"/>
                <w:szCs w:val="22"/>
                <w:shd w:val="clear" w:color="auto" w:fill="FFFFFF"/>
              </w:rPr>
              <w:t>0,000 people get on the road.</w:t>
            </w:r>
          </w:p>
          <w:p w14:paraId="19DF55AF" w14:textId="614F8828" w:rsidR="00E42388" w:rsidRPr="006D5FD0" w:rsidRDefault="00E42388" w:rsidP="009441FF">
            <w:pPr>
              <w:pStyle w:val="xmsonormal"/>
              <w:spacing w:before="0" w:beforeAutospacing="0" w:after="0" w:afterAutospacing="0"/>
              <w:jc w:val="both"/>
              <w:rPr>
                <w:sz w:val="24"/>
                <w:szCs w:val="24"/>
              </w:rPr>
            </w:pPr>
          </w:p>
          <w:p w14:paraId="71E0678B" w14:textId="1C48BFF1" w:rsidR="00E42388" w:rsidRPr="006D5FD0" w:rsidRDefault="00E42388" w:rsidP="009441FF">
            <w:pPr>
              <w:pStyle w:val="xmsonormal"/>
              <w:spacing w:before="0" w:beforeAutospacing="0" w:after="0" w:afterAutospacing="0"/>
              <w:jc w:val="both"/>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9441FF">
            <w:pPr>
              <w:jc w:val="both"/>
              <w:rPr>
                <w:rFonts w:ascii="Lexend" w:hAnsi="Lexend" w:cstheme="minorHAnsi"/>
                <w:sz w:val="22"/>
                <w:szCs w:val="18"/>
              </w:rPr>
            </w:pPr>
          </w:p>
        </w:tc>
      </w:tr>
      <w:tr w:rsidR="0000448C" w14:paraId="4BCA8322" w14:textId="77777777" w:rsidTr="00261AC7">
        <w:trPr>
          <w:gridAfter w:val="1"/>
          <w:wAfter w:w="107" w:type="dxa"/>
        </w:trPr>
        <w:tc>
          <w:tcPr>
            <w:tcW w:w="9639" w:type="dxa"/>
          </w:tcPr>
          <w:p w14:paraId="3CB43193" w14:textId="67DE992F" w:rsidR="00F549CB" w:rsidRPr="00B40FD7" w:rsidRDefault="004E251E" w:rsidP="009441FF">
            <w:pPr>
              <w:jc w:val="both"/>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9441FF">
            <w:pPr>
              <w:pStyle w:val="xmsonormal"/>
              <w:spacing w:before="0" w:beforeAutospacing="0" w:after="0" w:afterAutospacing="0"/>
              <w:jc w:val="both"/>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9441FF">
            <w:pPr>
              <w:pStyle w:val="xmsonormal"/>
              <w:spacing w:before="0" w:beforeAutospacing="0" w:after="0" w:afterAutospacing="0"/>
              <w:jc w:val="both"/>
              <w:rPr>
                <w:rFonts w:ascii="Lexend" w:hAnsi="Lexend"/>
              </w:rPr>
            </w:pPr>
          </w:p>
          <w:p w14:paraId="536211B4" w14:textId="56629683" w:rsidR="00EA0DDF" w:rsidRDefault="00EA0DDF" w:rsidP="009441FF">
            <w:pPr>
              <w:pStyle w:val="xmsonormal"/>
              <w:spacing w:before="0" w:beforeAutospacing="0" w:after="0" w:afterAutospacing="0"/>
              <w:jc w:val="both"/>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9441FF">
            <w:pPr>
              <w:pStyle w:val="xmsonormal"/>
              <w:spacing w:before="0" w:beforeAutospacing="0" w:after="0" w:afterAutospacing="0"/>
              <w:jc w:val="both"/>
              <w:rPr>
                <w:rFonts w:ascii="Lexend" w:hAnsi="Lexend"/>
              </w:rPr>
            </w:pPr>
          </w:p>
          <w:p w14:paraId="67EEA037" w14:textId="197BC0E4" w:rsidR="00E42388" w:rsidRPr="006D5FD0" w:rsidRDefault="002A60CA" w:rsidP="009441FF">
            <w:pPr>
              <w:pStyle w:val="xmsonormal"/>
              <w:spacing w:before="0" w:beforeAutospacing="0" w:after="0" w:afterAutospacing="0"/>
              <w:jc w:val="both"/>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E01793" w:rsidRPr="004E251E" w:rsidRDefault="00E01793" w:rsidP="009441FF">
            <w:pPr>
              <w:jc w:val="both"/>
              <w:rPr>
                <w:rFonts w:ascii="Lexend" w:hAnsi="Lexend" w:cstheme="minorHAnsi"/>
                <w:szCs w:val="18"/>
              </w:rPr>
            </w:pPr>
          </w:p>
        </w:tc>
      </w:tr>
      <w:tr w:rsidR="0000448C" w14:paraId="47DD7E1E" w14:textId="77777777" w:rsidTr="00261AC7">
        <w:trPr>
          <w:gridAfter w:val="1"/>
          <w:wAfter w:w="107" w:type="dxa"/>
        </w:trPr>
        <w:tc>
          <w:tcPr>
            <w:tcW w:w="9639" w:type="dxa"/>
          </w:tcPr>
          <w:p w14:paraId="6C10326E" w14:textId="77777777" w:rsidR="004E251E" w:rsidRPr="00FB1D01" w:rsidRDefault="004E251E" w:rsidP="009441FF">
            <w:pPr>
              <w:jc w:val="both"/>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9441FF">
            <w:pPr>
              <w:jc w:val="both"/>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1"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9441FF">
            <w:pPr>
              <w:jc w:val="both"/>
              <w:rPr>
                <w:rFonts w:ascii="Lexend" w:hAnsi="Lexend" w:cstheme="minorHAnsi"/>
                <w:sz w:val="22"/>
                <w:szCs w:val="18"/>
              </w:rPr>
            </w:pPr>
          </w:p>
          <w:p w14:paraId="3EA2B419" w14:textId="5B16B0E4" w:rsidR="0000448C" w:rsidRDefault="004E251E" w:rsidP="009441FF">
            <w:pPr>
              <w:jc w:val="both"/>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9441FF">
            <w:pPr>
              <w:jc w:val="both"/>
              <w:rPr>
                <w:rFonts w:ascii="Lexend" w:hAnsi="Lexend" w:cstheme="minorHAnsi"/>
                <w:sz w:val="22"/>
                <w:szCs w:val="18"/>
              </w:rPr>
            </w:pPr>
          </w:p>
          <w:p w14:paraId="2962FAE6" w14:textId="119B0B58" w:rsidR="0010465B" w:rsidRPr="00FB1D01" w:rsidRDefault="0010465B" w:rsidP="009441FF">
            <w:pPr>
              <w:jc w:val="both"/>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9441FF">
            <w:pPr>
              <w:pStyle w:val="xmsonormal"/>
              <w:spacing w:before="0" w:beforeAutospacing="0" w:after="0" w:afterAutospacing="0"/>
              <w:jc w:val="both"/>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9441FF">
            <w:pPr>
              <w:pStyle w:val="xmsonormal"/>
              <w:spacing w:before="0" w:beforeAutospacing="0" w:after="0" w:afterAutospacing="0"/>
              <w:jc w:val="both"/>
              <w:rPr>
                <w:rFonts w:ascii="Lexend" w:hAnsi="Lexend"/>
              </w:rPr>
            </w:pPr>
          </w:p>
          <w:p w14:paraId="379824AD" w14:textId="5783728A" w:rsidR="0048107C" w:rsidRPr="006D5FD0" w:rsidRDefault="00063AC4" w:rsidP="009441FF">
            <w:pPr>
              <w:pStyle w:val="xmsonormal"/>
              <w:spacing w:before="0" w:beforeAutospacing="0" w:after="0" w:afterAutospacing="0"/>
              <w:jc w:val="both"/>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9441FF">
            <w:pPr>
              <w:pStyle w:val="xmsonormal"/>
              <w:spacing w:before="0" w:beforeAutospacing="0" w:after="0" w:afterAutospacing="0"/>
              <w:jc w:val="both"/>
              <w:rPr>
                <w:rFonts w:ascii="Lexend" w:hAnsi="Lexend"/>
              </w:rPr>
            </w:pPr>
          </w:p>
          <w:p w14:paraId="15EF7A4F" w14:textId="70269E8C" w:rsidR="00063AC4" w:rsidRPr="006D5FD0" w:rsidRDefault="00063AC4" w:rsidP="009441FF">
            <w:pPr>
              <w:pStyle w:val="xmsonormal"/>
              <w:spacing w:before="0" w:beforeAutospacing="0" w:after="0" w:afterAutospacing="0"/>
              <w:jc w:val="both"/>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9441FF">
            <w:pPr>
              <w:pStyle w:val="xmsonormal"/>
              <w:numPr>
                <w:ilvl w:val="0"/>
                <w:numId w:val="38"/>
              </w:numPr>
              <w:spacing w:before="0" w:beforeAutospacing="0" w:after="0" w:afterAutospacing="0"/>
              <w:jc w:val="both"/>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t>
            </w:r>
            <w:r w:rsidRPr="00B23427">
              <w:rPr>
                <w:rFonts w:ascii="Lexend" w:hAnsi="Lexend"/>
                <w:i/>
                <w:iCs/>
              </w:rPr>
              <w:t>We find solutions</w:t>
            </w:r>
          </w:p>
          <w:p w14:paraId="2319C174" w14:textId="77777777" w:rsidR="00063AC4" w:rsidRPr="006D5FD0" w:rsidRDefault="00063AC4" w:rsidP="009441FF">
            <w:pPr>
              <w:pStyle w:val="xmsonormal"/>
              <w:numPr>
                <w:ilvl w:val="0"/>
                <w:numId w:val="38"/>
              </w:numPr>
              <w:spacing w:before="0" w:beforeAutospacing="0" w:after="0" w:afterAutospacing="0"/>
              <w:jc w:val="both"/>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t>
            </w:r>
            <w:r w:rsidRPr="00B23427">
              <w:rPr>
                <w:rFonts w:ascii="Lexend" w:hAnsi="Lexend"/>
                <w:i/>
                <w:iCs/>
              </w:rPr>
              <w:t>We drive change</w:t>
            </w:r>
          </w:p>
          <w:p w14:paraId="083DED67" w14:textId="1BD9C1C9" w:rsidR="00063AC4" w:rsidRPr="006D5FD0" w:rsidRDefault="00063AC4" w:rsidP="009441FF">
            <w:pPr>
              <w:pStyle w:val="xmsonormal"/>
              <w:numPr>
                <w:ilvl w:val="0"/>
                <w:numId w:val="38"/>
              </w:numPr>
              <w:spacing w:before="0" w:beforeAutospacing="0" w:after="0" w:afterAutospacing="0"/>
              <w:jc w:val="both"/>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t>
            </w:r>
            <w:r w:rsidRPr="00B23427">
              <w:rPr>
                <w:rFonts w:ascii="Lexend" w:hAnsi="Lexend"/>
                <w:i/>
                <w:iCs/>
              </w:rPr>
              <w:t>We care</w:t>
            </w:r>
          </w:p>
          <w:p w14:paraId="5D98BED3" w14:textId="7D02580A" w:rsidR="0023680C" w:rsidRPr="004E251E" w:rsidRDefault="0023680C" w:rsidP="009441FF">
            <w:pPr>
              <w:jc w:val="both"/>
              <w:rPr>
                <w:rFonts w:ascii="Lexend" w:hAnsi="Lexend" w:cstheme="minorHAnsi"/>
                <w:sz w:val="22"/>
                <w:szCs w:val="18"/>
              </w:rPr>
            </w:pPr>
          </w:p>
        </w:tc>
      </w:tr>
      <w:tr w:rsidR="0000448C" w14:paraId="61AF930C" w14:textId="77777777" w:rsidTr="00261AC7">
        <w:tc>
          <w:tcPr>
            <w:tcW w:w="9746" w:type="dxa"/>
            <w:gridSpan w:val="2"/>
          </w:tcPr>
          <w:p w14:paraId="6ACC417C" w14:textId="63E86F2D" w:rsidR="004E251E" w:rsidRDefault="00261AC7" w:rsidP="001F193F">
            <w:pPr>
              <w:spacing w:after="120"/>
              <w:jc w:val="both"/>
              <w:rPr>
                <w:rFonts w:ascii="Lexend" w:hAnsi="Lexend" w:cstheme="minorHAnsi"/>
                <w:b/>
                <w:color w:val="1739E5"/>
              </w:rPr>
            </w:pPr>
            <w:r>
              <w:rPr>
                <w:rFonts w:ascii="Lexend" w:hAnsi="Lexend" w:cstheme="minorHAnsi"/>
                <w:b/>
                <w:color w:val="1739E5"/>
              </w:rPr>
              <w:lastRenderedPageBreak/>
              <w:t>W</w:t>
            </w:r>
            <w:r w:rsidR="004E251E" w:rsidRPr="008C2EEB">
              <w:rPr>
                <w:rFonts w:ascii="Lexend" w:hAnsi="Lexend" w:cstheme="minorHAnsi"/>
                <w:b/>
                <w:color w:val="1739E5"/>
              </w:rPr>
              <w:t>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826"/>
            </w:tblGrid>
            <w:tr w:rsidR="004E251E" w14:paraId="3DCDCBA2" w14:textId="77777777" w:rsidTr="00775E57">
              <w:tc>
                <w:tcPr>
                  <w:tcW w:w="704" w:type="dxa"/>
                </w:tcPr>
                <w:p w14:paraId="38F926F0" w14:textId="77777777" w:rsidR="004E251E" w:rsidRDefault="004E251E" w:rsidP="001F193F">
                  <w:pPr>
                    <w:spacing w:after="120"/>
                    <w:jc w:val="both"/>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1301" cy="281301"/>
                                </a:xfrm>
                                <a:prstGeom prst="rect">
                                  <a:avLst/>
                                </a:prstGeom>
                              </pic:spPr>
                            </pic:pic>
                          </a:graphicData>
                        </a:graphic>
                      </wp:inline>
                    </w:drawing>
                  </w:r>
                </w:p>
              </w:tc>
              <w:tc>
                <w:tcPr>
                  <w:tcW w:w="9134" w:type="dxa"/>
                </w:tcPr>
                <w:p w14:paraId="49578673" w14:textId="0CAA34C0" w:rsidR="004E251E" w:rsidRPr="00F06FD7" w:rsidRDefault="004E251E" w:rsidP="001F193F">
                  <w:pPr>
                    <w:spacing w:after="120"/>
                    <w:jc w:val="both"/>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r w:rsidR="001F193F">
                    <w:rPr>
                      <w:rFonts w:ascii="Lexend" w:hAnsi="Lexend" w:cstheme="minorHAnsi"/>
                      <w:sz w:val="22"/>
                      <w:szCs w:val="18"/>
                    </w:rPr>
                    <w:t>.</w:t>
                  </w:r>
                </w:p>
              </w:tc>
            </w:tr>
            <w:tr w:rsidR="004E251E" w14:paraId="50250362" w14:textId="77777777" w:rsidTr="00775E57">
              <w:tc>
                <w:tcPr>
                  <w:tcW w:w="704" w:type="dxa"/>
                </w:tcPr>
                <w:p w14:paraId="1B09E83C" w14:textId="77777777" w:rsidR="004E251E" w:rsidRDefault="004E251E" w:rsidP="001F193F">
                  <w:pPr>
                    <w:spacing w:after="120"/>
                    <w:jc w:val="both"/>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5788" cy="285214"/>
                                </a:xfrm>
                                <a:prstGeom prst="rect">
                                  <a:avLst/>
                                </a:prstGeom>
                              </pic:spPr>
                            </pic:pic>
                          </a:graphicData>
                        </a:graphic>
                      </wp:inline>
                    </w:drawing>
                  </w:r>
                </w:p>
              </w:tc>
              <w:tc>
                <w:tcPr>
                  <w:tcW w:w="9134" w:type="dxa"/>
                </w:tcPr>
                <w:p w14:paraId="661F0C3A" w14:textId="3EE5B053" w:rsidR="004E251E" w:rsidRPr="00F06FD7" w:rsidRDefault="004E251E" w:rsidP="001F193F">
                  <w:pPr>
                    <w:spacing w:after="120"/>
                    <w:jc w:val="both"/>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r w:rsidR="001F193F">
                    <w:rPr>
                      <w:rFonts w:ascii="Lexend" w:hAnsi="Lexend" w:cstheme="minorHAnsi"/>
                      <w:sz w:val="22"/>
                      <w:szCs w:val="18"/>
                    </w:rPr>
                    <w:t>.</w:t>
                  </w:r>
                </w:p>
              </w:tc>
            </w:tr>
            <w:tr w:rsidR="00775E57" w14:paraId="098EAE6B" w14:textId="77777777" w:rsidTr="00775E57">
              <w:tc>
                <w:tcPr>
                  <w:tcW w:w="704" w:type="dxa"/>
                </w:tcPr>
                <w:p w14:paraId="1A21B2DF" w14:textId="4EDC6EAA" w:rsidR="00775E57" w:rsidRPr="00E73E92" w:rsidRDefault="00775E57" w:rsidP="001F193F">
                  <w:pPr>
                    <w:spacing w:after="120"/>
                    <w:jc w:val="both"/>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1F193F">
                  <w:pPr>
                    <w:spacing w:after="120"/>
                    <w:jc w:val="both"/>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1F193F">
                  <w:pPr>
                    <w:spacing w:after="120"/>
                    <w:jc w:val="both"/>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3007" cy="292418"/>
                                </a:xfrm>
                                <a:prstGeom prst="rect">
                                  <a:avLst/>
                                </a:prstGeom>
                              </pic:spPr>
                            </pic:pic>
                          </a:graphicData>
                        </a:graphic>
                      </wp:inline>
                    </w:drawing>
                  </w:r>
                </w:p>
              </w:tc>
              <w:tc>
                <w:tcPr>
                  <w:tcW w:w="9134" w:type="dxa"/>
                </w:tcPr>
                <w:p w14:paraId="06A40D45" w14:textId="78B65FFF" w:rsidR="004E251E" w:rsidRPr="00B13E39" w:rsidRDefault="004E251E" w:rsidP="001F193F">
                  <w:pPr>
                    <w:spacing w:after="120"/>
                    <w:jc w:val="both"/>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r w:rsidR="001F193F">
                    <w:rPr>
                      <w:rFonts w:ascii="Lexend" w:hAnsi="Lexend" w:cstheme="minorHAnsi"/>
                      <w:sz w:val="22"/>
                      <w:szCs w:val="18"/>
                    </w:rPr>
                    <w:t>.</w:t>
                  </w:r>
                </w:p>
              </w:tc>
            </w:tr>
            <w:tr w:rsidR="004E251E" w14:paraId="50E51FB1" w14:textId="77777777" w:rsidTr="00775E57">
              <w:tc>
                <w:tcPr>
                  <w:tcW w:w="704" w:type="dxa"/>
                </w:tcPr>
                <w:p w14:paraId="67BC4223" w14:textId="77777777" w:rsidR="004E251E" w:rsidRDefault="004E251E" w:rsidP="001F193F">
                  <w:pPr>
                    <w:spacing w:after="120"/>
                    <w:jc w:val="both"/>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6743" cy="266743"/>
                                </a:xfrm>
                                <a:prstGeom prst="rect">
                                  <a:avLst/>
                                </a:prstGeom>
                              </pic:spPr>
                            </pic:pic>
                          </a:graphicData>
                        </a:graphic>
                      </wp:inline>
                    </w:drawing>
                  </w:r>
                </w:p>
              </w:tc>
              <w:tc>
                <w:tcPr>
                  <w:tcW w:w="9134" w:type="dxa"/>
                </w:tcPr>
                <w:p w14:paraId="3C422729" w14:textId="078DA6F6" w:rsidR="004E251E" w:rsidRPr="00F06FD7" w:rsidRDefault="004E251E" w:rsidP="001F193F">
                  <w:pPr>
                    <w:spacing w:after="120"/>
                    <w:jc w:val="both"/>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1F193F">
                    <w:rPr>
                      <w:rFonts w:ascii="Lexend" w:hAnsi="Lexend" w:cstheme="minorHAnsi"/>
                      <w:i/>
                      <w:iCs/>
                      <w:sz w:val="22"/>
                      <w:szCs w:val="18"/>
                    </w:rPr>
                    <w:t>myLearn</w:t>
                  </w:r>
                  <w:proofErr w:type="spellEnd"/>
                  <w:r w:rsidRPr="00AA4BA2">
                    <w:rPr>
                      <w:rFonts w:ascii="Lexend" w:hAnsi="Lexend" w:cstheme="minorHAnsi"/>
                      <w:sz w:val="22"/>
                      <w:szCs w:val="18"/>
                    </w:rPr>
                    <w:t xml:space="preserve"> platform</w:t>
                  </w:r>
                  <w:r w:rsidR="001F193F">
                    <w:rPr>
                      <w:rFonts w:ascii="Lexend" w:hAnsi="Lexend" w:cstheme="minorHAnsi"/>
                      <w:sz w:val="22"/>
                      <w:szCs w:val="18"/>
                    </w:rPr>
                    <w:t>.</w:t>
                  </w:r>
                </w:p>
              </w:tc>
            </w:tr>
            <w:tr w:rsidR="004E251E" w14:paraId="6F43F11A" w14:textId="77777777" w:rsidTr="00775E57">
              <w:tc>
                <w:tcPr>
                  <w:tcW w:w="704" w:type="dxa"/>
                </w:tcPr>
                <w:p w14:paraId="00FDB44D" w14:textId="77777777" w:rsidR="004E251E" w:rsidRDefault="004E251E" w:rsidP="001F193F">
                  <w:pPr>
                    <w:spacing w:after="120"/>
                    <w:jc w:val="both"/>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7566" cy="257566"/>
                                </a:xfrm>
                                <a:prstGeom prst="rect">
                                  <a:avLst/>
                                </a:prstGeom>
                              </pic:spPr>
                            </pic:pic>
                          </a:graphicData>
                        </a:graphic>
                      </wp:inline>
                    </w:drawing>
                  </w:r>
                </w:p>
              </w:tc>
              <w:tc>
                <w:tcPr>
                  <w:tcW w:w="9134" w:type="dxa"/>
                </w:tcPr>
                <w:p w14:paraId="1FFAB023" w14:textId="604ADF71" w:rsidR="004E251E" w:rsidRPr="00F06FD7" w:rsidRDefault="004E251E" w:rsidP="001F193F">
                  <w:pPr>
                    <w:spacing w:after="120"/>
                    <w:jc w:val="both"/>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r w:rsidR="001F193F">
                    <w:rPr>
                      <w:rFonts w:ascii="Lexend" w:hAnsi="Lexend" w:cstheme="minorHAnsi"/>
                      <w:sz w:val="22"/>
                      <w:szCs w:val="18"/>
                    </w:rPr>
                    <w:t>.</w:t>
                  </w:r>
                </w:p>
              </w:tc>
            </w:tr>
            <w:tr w:rsidR="004E251E" w14:paraId="752914ED" w14:textId="77777777" w:rsidTr="00775E57">
              <w:tc>
                <w:tcPr>
                  <w:tcW w:w="704" w:type="dxa"/>
                </w:tcPr>
                <w:p w14:paraId="1C85553E" w14:textId="77777777" w:rsidR="004E251E" w:rsidRDefault="004E251E" w:rsidP="001F193F">
                  <w:pPr>
                    <w:spacing w:after="120"/>
                    <w:jc w:val="both"/>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7286" cy="307286"/>
                                </a:xfrm>
                                <a:prstGeom prst="rect">
                                  <a:avLst/>
                                </a:prstGeom>
                              </pic:spPr>
                            </pic:pic>
                          </a:graphicData>
                        </a:graphic>
                      </wp:inline>
                    </w:drawing>
                  </w:r>
                </w:p>
              </w:tc>
              <w:tc>
                <w:tcPr>
                  <w:tcW w:w="9134" w:type="dxa"/>
                </w:tcPr>
                <w:p w14:paraId="4223DED9" w14:textId="336AD51B" w:rsidR="004E251E" w:rsidRPr="00F06FD7" w:rsidRDefault="004E251E" w:rsidP="001F193F">
                  <w:pPr>
                    <w:spacing w:after="120"/>
                    <w:jc w:val="both"/>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r w:rsidR="001F193F">
                    <w:rPr>
                      <w:rFonts w:ascii="Lexend" w:hAnsi="Lexend" w:cstheme="minorHAnsi"/>
                      <w:sz w:val="22"/>
                      <w:szCs w:val="18"/>
                    </w:rPr>
                    <w:t>.</w:t>
                  </w:r>
                </w:p>
              </w:tc>
            </w:tr>
            <w:tr w:rsidR="004E251E" w14:paraId="61178ED4" w14:textId="77777777" w:rsidTr="00775E57">
              <w:tc>
                <w:tcPr>
                  <w:tcW w:w="704" w:type="dxa"/>
                </w:tcPr>
                <w:p w14:paraId="4414D018" w14:textId="77777777" w:rsidR="004E251E" w:rsidRDefault="004E251E" w:rsidP="001F193F">
                  <w:pPr>
                    <w:spacing w:after="120"/>
                    <w:jc w:val="both"/>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3FCF4480" w:rsidR="004E251E" w:rsidRDefault="004E251E" w:rsidP="001F193F">
                  <w:pPr>
                    <w:spacing w:after="120"/>
                    <w:jc w:val="both"/>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w:t>
                  </w:r>
                  <w:r w:rsidR="001F193F">
                    <w:rPr>
                      <w:rFonts w:ascii="Lexend" w:hAnsi="Lexend" w:cstheme="minorHAnsi"/>
                      <w:sz w:val="22"/>
                      <w:szCs w:val="18"/>
                    </w:rPr>
                    <w:t>,</w:t>
                  </w:r>
                  <w:r w:rsidRPr="00AA4BA2">
                    <w:rPr>
                      <w:rFonts w:ascii="Lexend" w:hAnsi="Lexend" w:cstheme="minorHAnsi"/>
                      <w:sz w:val="22"/>
                      <w:szCs w:val="18"/>
                    </w:rPr>
                    <w:t xml:space="preserve"> </w:t>
                  </w:r>
                  <w:r w:rsidRPr="001F193F">
                    <w:rPr>
                      <w:rFonts w:ascii="Lexend" w:hAnsi="Lexend" w:cstheme="minorHAnsi"/>
                      <w:i/>
                      <w:iCs/>
                      <w:sz w:val="22"/>
                      <w:szCs w:val="18"/>
                    </w:rPr>
                    <w:t>Neighbourly</w:t>
                  </w:r>
                  <w:r w:rsidR="001F193F">
                    <w:rPr>
                      <w:rFonts w:ascii="Lexend" w:hAnsi="Lexend" w:cstheme="minorHAnsi"/>
                      <w:sz w:val="22"/>
                      <w:szCs w:val="18"/>
                    </w:rPr>
                    <w:t>.</w:t>
                  </w:r>
                </w:p>
              </w:tc>
            </w:tr>
            <w:tr w:rsidR="004E251E" w14:paraId="7F7C42A2" w14:textId="77777777" w:rsidTr="00775E57">
              <w:tc>
                <w:tcPr>
                  <w:tcW w:w="704" w:type="dxa"/>
                </w:tcPr>
                <w:p w14:paraId="70071B23" w14:textId="77777777" w:rsidR="004E251E" w:rsidRDefault="004E251E" w:rsidP="001F193F">
                  <w:pPr>
                    <w:spacing w:after="120"/>
                    <w:jc w:val="both"/>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1054FA3A" w:rsidR="004E251E" w:rsidRDefault="004E251E" w:rsidP="001F193F">
                  <w:pPr>
                    <w:spacing w:after="120"/>
                    <w:jc w:val="both"/>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w:t>
                  </w:r>
                  <w:r w:rsidR="001F193F">
                    <w:rPr>
                      <w:rFonts w:ascii="Lexend" w:hAnsi="Lexend" w:cstheme="minorHAnsi"/>
                      <w:sz w:val="22"/>
                      <w:szCs w:val="18"/>
                    </w:rPr>
                    <w:t>-</w:t>
                  </w:r>
                  <w:r w:rsidRPr="00AA4BA2">
                    <w:rPr>
                      <w:rFonts w:ascii="Lexend" w:hAnsi="Lexend" w:cstheme="minorHAnsi"/>
                      <w:sz w:val="22"/>
                      <w:szCs w:val="18"/>
                    </w:rPr>
                    <w:t>to</w:t>
                  </w:r>
                  <w:r w:rsidR="001F193F">
                    <w:rPr>
                      <w:rFonts w:ascii="Lexend" w:hAnsi="Lexend" w:cstheme="minorHAnsi"/>
                      <w:sz w:val="22"/>
                      <w:szCs w:val="18"/>
                    </w:rPr>
                    <w:t>-</w:t>
                  </w:r>
                  <w:r w:rsidRPr="00AA4BA2">
                    <w:rPr>
                      <w:rFonts w:ascii="Lexend" w:hAnsi="Lexend" w:cstheme="minorHAnsi"/>
                      <w:sz w:val="22"/>
                      <w:szCs w:val="18"/>
                    </w:rPr>
                    <w:t>Work Scheme. Employee Discount Scheme, to save money across lots of retailers</w:t>
                  </w:r>
                  <w:r w:rsidR="001F193F">
                    <w:rPr>
                      <w:rFonts w:ascii="Lexend" w:hAnsi="Lexend" w:cstheme="minorHAnsi"/>
                      <w:sz w:val="22"/>
                      <w:szCs w:val="18"/>
                    </w:rPr>
                    <w:t>.</w:t>
                  </w:r>
                </w:p>
              </w:tc>
            </w:tr>
            <w:tr w:rsidR="004E251E" w14:paraId="1DA0EB06" w14:textId="77777777" w:rsidTr="00775E57">
              <w:tc>
                <w:tcPr>
                  <w:tcW w:w="704" w:type="dxa"/>
                </w:tcPr>
                <w:p w14:paraId="5D1531B1" w14:textId="77777777" w:rsidR="004E251E" w:rsidRDefault="004E251E" w:rsidP="001F193F">
                  <w:pPr>
                    <w:spacing w:after="120"/>
                    <w:jc w:val="both"/>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120E0515" w:rsidR="004E251E" w:rsidRDefault="004E251E" w:rsidP="001F193F">
                  <w:pPr>
                    <w:spacing w:after="120"/>
                    <w:jc w:val="both"/>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r w:rsidR="001F193F">
                    <w:rPr>
                      <w:rFonts w:ascii="Lexend" w:hAnsi="Lexend" w:cstheme="minorHAnsi"/>
                      <w:sz w:val="22"/>
                      <w:szCs w:val="18"/>
                    </w:rPr>
                    <w:t>.</w:t>
                  </w:r>
                </w:p>
              </w:tc>
            </w:tr>
          </w:tbl>
          <w:p w14:paraId="77C1D259" w14:textId="77777777" w:rsidR="0000448C" w:rsidRPr="008C2EEB" w:rsidRDefault="0000448C" w:rsidP="009441FF">
            <w:pPr>
              <w:jc w:val="both"/>
              <w:rPr>
                <w:rFonts w:ascii="Lexend" w:hAnsi="Lexend"/>
                <w:b/>
                <w:color w:val="1739E5"/>
                <w:szCs w:val="24"/>
              </w:rPr>
            </w:pPr>
          </w:p>
        </w:tc>
      </w:tr>
    </w:tbl>
    <w:p w14:paraId="2A55A80D" w14:textId="56FD572B" w:rsidR="002D5F9F" w:rsidRPr="00E30925" w:rsidRDefault="002D5F9F" w:rsidP="00E30925">
      <w:pPr>
        <w:rPr>
          <w:rFonts w:ascii="Lexend" w:hAnsi="Lexend"/>
          <w:bCs/>
          <w:sz w:val="22"/>
          <w:szCs w:val="22"/>
        </w:rPr>
      </w:pPr>
    </w:p>
    <w:sectPr w:rsidR="002D5F9F" w:rsidRPr="00E30925" w:rsidSect="00261AC7">
      <w:headerReference w:type="default" r:id="rId22"/>
      <w:pgSz w:w="11906" w:h="16838" w:code="9"/>
      <w:pgMar w:top="2127"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CE6E" w14:textId="77777777" w:rsidR="0072559F" w:rsidRDefault="0072559F">
      <w:r>
        <w:separator/>
      </w:r>
    </w:p>
  </w:endnote>
  <w:endnote w:type="continuationSeparator" w:id="0">
    <w:p w14:paraId="6BB29821" w14:textId="77777777" w:rsidR="0072559F" w:rsidRDefault="0072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0375" w14:textId="77777777" w:rsidR="0072559F" w:rsidRDefault="0072559F">
      <w:r>
        <w:separator/>
      </w:r>
    </w:p>
  </w:footnote>
  <w:footnote w:type="continuationSeparator" w:id="0">
    <w:p w14:paraId="71E316E1" w14:textId="77777777" w:rsidR="0072559F" w:rsidRDefault="00725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2117335721" name="Picture 211733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CA3852"/>
    <w:multiLevelType w:val="hybridMultilevel"/>
    <w:tmpl w:val="D9F41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35038F"/>
    <w:multiLevelType w:val="hybridMultilevel"/>
    <w:tmpl w:val="58AE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51EA7"/>
    <w:multiLevelType w:val="hybridMultilevel"/>
    <w:tmpl w:val="56AE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D37411"/>
    <w:multiLevelType w:val="hybridMultilevel"/>
    <w:tmpl w:val="E9A29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E74FBB"/>
    <w:multiLevelType w:val="hybridMultilevel"/>
    <w:tmpl w:val="E546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6E33DA1"/>
    <w:multiLevelType w:val="hybridMultilevel"/>
    <w:tmpl w:val="1102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157EF8"/>
    <w:multiLevelType w:val="hybridMultilevel"/>
    <w:tmpl w:val="65308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6"/>
  </w:num>
  <w:num w:numId="5" w16cid:durableId="1104616596">
    <w:abstractNumId w:val="44"/>
  </w:num>
  <w:num w:numId="6" w16cid:durableId="1645037857">
    <w:abstractNumId w:val="12"/>
  </w:num>
  <w:num w:numId="7" w16cid:durableId="941182358">
    <w:abstractNumId w:val="3"/>
  </w:num>
  <w:num w:numId="8" w16cid:durableId="118496352">
    <w:abstractNumId w:val="8"/>
  </w:num>
  <w:num w:numId="9" w16cid:durableId="48961000">
    <w:abstractNumId w:val="39"/>
  </w:num>
  <w:num w:numId="10" w16cid:durableId="1236814170">
    <w:abstractNumId w:val="15"/>
  </w:num>
  <w:num w:numId="11" w16cid:durableId="924845669">
    <w:abstractNumId w:val="33"/>
  </w:num>
  <w:num w:numId="12" w16cid:durableId="1586959621">
    <w:abstractNumId w:val="37"/>
  </w:num>
  <w:num w:numId="13" w16cid:durableId="1973634893">
    <w:abstractNumId w:val="10"/>
  </w:num>
  <w:num w:numId="14" w16cid:durableId="1438604040">
    <w:abstractNumId w:val="23"/>
  </w:num>
  <w:num w:numId="15" w16cid:durableId="1513494444">
    <w:abstractNumId w:val="21"/>
  </w:num>
  <w:num w:numId="16" w16cid:durableId="1747654335">
    <w:abstractNumId w:val="31"/>
  </w:num>
  <w:num w:numId="17" w16cid:durableId="1169827613">
    <w:abstractNumId w:val="13"/>
  </w:num>
  <w:num w:numId="18" w16cid:durableId="774248678">
    <w:abstractNumId w:val="35"/>
  </w:num>
  <w:num w:numId="19" w16cid:durableId="575938434">
    <w:abstractNumId w:val="17"/>
  </w:num>
  <w:num w:numId="20" w16cid:durableId="79110247">
    <w:abstractNumId w:val="24"/>
  </w:num>
  <w:num w:numId="21" w16cid:durableId="914124496">
    <w:abstractNumId w:val="27"/>
  </w:num>
  <w:num w:numId="22" w16cid:durableId="263342577">
    <w:abstractNumId w:val="19"/>
  </w:num>
  <w:num w:numId="23" w16cid:durableId="1353920482">
    <w:abstractNumId w:val="4"/>
  </w:num>
  <w:num w:numId="24" w16cid:durableId="73283562">
    <w:abstractNumId w:val="43"/>
  </w:num>
  <w:num w:numId="25" w16cid:durableId="1704091098">
    <w:abstractNumId w:val="26"/>
  </w:num>
  <w:num w:numId="26" w16cid:durableId="1590042919">
    <w:abstractNumId w:val="1"/>
  </w:num>
  <w:num w:numId="27" w16cid:durableId="807894186">
    <w:abstractNumId w:val="16"/>
  </w:num>
  <w:num w:numId="28" w16cid:durableId="1574117201">
    <w:abstractNumId w:val="5"/>
  </w:num>
  <w:num w:numId="29" w16cid:durableId="449666736">
    <w:abstractNumId w:val="32"/>
  </w:num>
  <w:num w:numId="30" w16cid:durableId="1159149538">
    <w:abstractNumId w:val="34"/>
  </w:num>
  <w:num w:numId="31" w16cid:durableId="1020543685">
    <w:abstractNumId w:val="20"/>
  </w:num>
  <w:num w:numId="32" w16cid:durableId="690575195">
    <w:abstractNumId w:val="41"/>
  </w:num>
  <w:num w:numId="33" w16cid:durableId="1003585426">
    <w:abstractNumId w:val="29"/>
  </w:num>
  <w:num w:numId="34" w16cid:durableId="1446537673">
    <w:abstractNumId w:val="9"/>
  </w:num>
  <w:num w:numId="35" w16cid:durableId="200019508">
    <w:abstractNumId w:val="0"/>
  </w:num>
  <w:num w:numId="36" w16cid:durableId="1788960634">
    <w:abstractNumId w:val="7"/>
  </w:num>
  <w:num w:numId="37" w16cid:durableId="1881504940">
    <w:abstractNumId w:val="22"/>
  </w:num>
  <w:num w:numId="38" w16cid:durableId="908002776">
    <w:abstractNumId w:val="28"/>
  </w:num>
  <w:num w:numId="39" w16cid:durableId="1462305911">
    <w:abstractNumId w:val="40"/>
  </w:num>
  <w:num w:numId="40" w16cid:durableId="181207238">
    <w:abstractNumId w:val="25"/>
  </w:num>
  <w:num w:numId="41" w16cid:durableId="653220310">
    <w:abstractNumId w:val="14"/>
  </w:num>
  <w:num w:numId="42" w16cid:durableId="2131853169">
    <w:abstractNumId w:val="30"/>
  </w:num>
  <w:num w:numId="43" w16cid:durableId="1590961905">
    <w:abstractNumId w:val="18"/>
  </w:num>
  <w:num w:numId="44" w16cid:durableId="187185585">
    <w:abstractNumId w:val="38"/>
  </w:num>
  <w:num w:numId="45" w16cid:durableId="700326676">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3FF"/>
    <w:rsid w:val="00066A65"/>
    <w:rsid w:val="00067CF6"/>
    <w:rsid w:val="0007076E"/>
    <w:rsid w:val="00072868"/>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4970"/>
    <w:rsid w:val="000D5F14"/>
    <w:rsid w:val="000D7061"/>
    <w:rsid w:val="000E2300"/>
    <w:rsid w:val="000E2A6E"/>
    <w:rsid w:val="000E6E52"/>
    <w:rsid w:val="000F0FF0"/>
    <w:rsid w:val="000F2C1A"/>
    <w:rsid w:val="000F449F"/>
    <w:rsid w:val="000F49C2"/>
    <w:rsid w:val="00101B32"/>
    <w:rsid w:val="0010465B"/>
    <w:rsid w:val="00105CF6"/>
    <w:rsid w:val="0010765E"/>
    <w:rsid w:val="00115E2D"/>
    <w:rsid w:val="00116D44"/>
    <w:rsid w:val="00120A47"/>
    <w:rsid w:val="001212E3"/>
    <w:rsid w:val="0012134D"/>
    <w:rsid w:val="00123903"/>
    <w:rsid w:val="00124467"/>
    <w:rsid w:val="00126D22"/>
    <w:rsid w:val="00132BA0"/>
    <w:rsid w:val="00132C5C"/>
    <w:rsid w:val="00132D7E"/>
    <w:rsid w:val="00135900"/>
    <w:rsid w:val="0014520E"/>
    <w:rsid w:val="001470C5"/>
    <w:rsid w:val="00155F94"/>
    <w:rsid w:val="00160121"/>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D0A"/>
    <w:rsid w:val="001F193F"/>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B3A"/>
    <w:rsid w:val="00240E45"/>
    <w:rsid w:val="002423C0"/>
    <w:rsid w:val="00244C41"/>
    <w:rsid w:val="00247CF5"/>
    <w:rsid w:val="002534DA"/>
    <w:rsid w:val="00261AC7"/>
    <w:rsid w:val="00262C0C"/>
    <w:rsid w:val="00266CFD"/>
    <w:rsid w:val="00270658"/>
    <w:rsid w:val="0027286D"/>
    <w:rsid w:val="002767DA"/>
    <w:rsid w:val="0028584B"/>
    <w:rsid w:val="00294947"/>
    <w:rsid w:val="00296923"/>
    <w:rsid w:val="0029777C"/>
    <w:rsid w:val="002A034D"/>
    <w:rsid w:val="002A0960"/>
    <w:rsid w:val="002A2B61"/>
    <w:rsid w:val="002A60CA"/>
    <w:rsid w:val="002B01A0"/>
    <w:rsid w:val="002B1755"/>
    <w:rsid w:val="002C2341"/>
    <w:rsid w:val="002C2C09"/>
    <w:rsid w:val="002C4383"/>
    <w:rsid w:val="002D5F9F"/>
    <w:rsid w:val="002D6E7B"/>
    <w:rsid w:val="002E08DE"/>
    <w:rsid w:val="002E192A"/>
    <w:rsid w:val="002E1D77"/>
    <w:rsid w:val="002E293E"/>
    <w:rsid w:val="002E2B07"/>
    <w:rsid w:val="002E5D86"/>
    <w:rsid w:val="002F462A"/>
    <w:rsid w:val="002F4E87"/>
    <w:rsid w:val="002F66E3"/>
    <w:rsid w:val="00302B46"/>
    <w:rsid w:val="003107A6"/>
    <w:rsid w:val="00310B49"/>
    <w:rsid w:val="003119A5"/>
    <w:rsid w:val="0031606D"/>
    <w:rsid w:val="00316D56"/>
    <w:rsid w:val="0031785B"/>
    <w:rsid w:val="00321637"/>
    <w:rsid w:val="0032746E"/>
    <w:rsid w:val="003312D7"/>
    <w:rsid w:val="00354118"/>
    <w:rsid w:val="00355B4D"/>
    <w:rsid w:val="003609CC"/>
    <w:rsid w:val="00360D80"/>
    <w:rsid w:val="00363EF8"/>
    <w:rsid w:val="00365140"/>
    <w:rsid w:val="00367863"/>
    <w:rsid w:val="00370F56"/>
    <w:rsid w:val="003736E4"/>
    <w:rsid w:val="00374217"/>
    <w:rsid w:val="00375A7E"/>
    <w:rsid w:val="00375D9D"/>
    <w:rsid w:val="00380148"/>
    <w:rsid w:val="0038629B"/>
    <w:rsid w:val="00386F64"/>
    <w:rsid w:val="00387280"/>
    <w:rsid w:val="003900AE"/>
    <w:rsid w:val="003A016C"/>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B0283"/>
    <w:rsid w:val="004B3BC9"/>
    <w:rsid w:val="004B592D"/>
    <w:rsid w:val="004C0670"/>
    <w:rsid w:val="004C1BE5"/>
    <w:rsid w:val="004C3067"/>
    <w:rsid w:val="004C33CD"/>
    <w:rsid w:val="004C5225"/>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5EC"/>
    <w:rsid w:val="00576AA6"/>
    <w:rsid w:val="0058231C"/>
    <w:rsid w:val="00583112"/>
    <w:rsid w:val="005832FE"/>
    <w:rsid w:val="005840E8"/>
    <w:rsid w:val="00584224"/>
    <w:rsid w:val="00590ECA"/>
    <w:rsid w:val="0059384D"/>
    <w:rsid w:val="0059732A"/>
    <w:rsid w:val="005A1E31"/>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D719B"/>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6836"/>
    <w:rsid w:val="00657682"/>
    <w:rsid w:val="006611FC"/>
    <w:rsid w:val="00661252"/>
    <w:rsid w:val="006629FD"/>
    <w:rsid w:val="00662AEF"/>
    <w:rsid w:val="00663D44"/>
    <w:rsid w:val="00671E6C"/>
    <w:rsid w:val="00674FB0"/>
    <w:rsid w:val="0067746A"/>
    <w:rsid w:val="00677871"/>
    <w:rsid w:val="0068059B"/>
    <w:rsid w:val="00685C14"/>
    <w:rsid w:val="00693E7C"/>
    <w:rsid w:val="00697265"/>
    <w:rsid w:val="0069746E"/>
    <w:rsid w:val="006A027C"/>
    <w:rsid w:val="006A594E"/>
    <w:rsid w:val="006B171C"/>
    <w:rsid w:val="006C0AD2"/>
    <w:rsid w:val="006C5982"/>
    <w:rsid w:val="006D1D28"/>
    <w:rsid w:val="006D52D5"/>
    <w:rsid w:val="006D5FD0"/>
    <w:rsid w:val="006E2908"/>
    <w:rsid w:val="006E4ADC"/>
    <w:rsid w:val="006F2906"/>
    <w:rsid w:val="007060E2"/>
    <w:rsid w:val="007076CC"/>
    <w:rsid w:val="00715121"/>
    <w:rsid w:val="00715F76"/>
    <w:rsid w:val="0072124C"/>
    <w:rsid w:val="00724DF6"/>
    <w:rsid w:val="0072559F"/>
    <w:rsid w:val="00726D29"/>
    <w:rsid w:val="00727EBA"/>
    <w:rsid w:val="00731A08"/>
    <w:rsid w:val="007420FB"/>
    <w:rsid w:val="00742697"/>
    <w:rsid w:val="0074389C"/>
    <w:rsid w:val="00746220"/>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0B97"/>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55BA6"/>
    <w:rsid w:val="00857140"/>
    <w:rsid w:val="00865F90"/>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3A05"/>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441FF"/>
    <w:rsid w:val="00951D8F"/>
    <w:rsid w:val="00955487"/>
    <w:rsid w:val="00955747"/>
    <w:rsid w:val="0095650D"/>
    <w:rsid w:val="00956FEF"/>
    <w:rsid w:val="009602F5"/>
    <w:rsid w:val="00970E9E"/>
    <w:rsid w:val="00974015"/>
    <w:rsid w:val="00975A96"/>
    <w:rsid w:val="009761D8"/>
    <w:rsid w:val="009770E3"/>
    <w:rsid w:val="00977B86"/>
    <w:rsid w:val="00977CD5"/>
    <w:rsid w:val="00980405"/>
    <w:rsid w:val="0099436B"/>
    <w:rsid w:val="00995C81"/>
    <w:rsid w:val="00996AB9"/>
    <w:rsid w:val="009A4A0F"/>
    <w:rsid w:val="009B0F8E"/>
    <w:rsid w:val="009B3AEE"/>
    <w:rsid w:val="009D7359"/>
    <w:rsid w:val="009E2DDC"/>
    <w:rsid w:val="009E36DA"/>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1190"/>
    <w:rsid w:val="00A67231"/>
    <w:rsid w:val="00A741E9"/>
    <w:rsid w:val="00A82A11"/>
    <w:rsid w:val="00A90B8D"/>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3E39"/>
    <w:rsid w:val="00B145D8"/>
    <w:rsid w:val="00B23427"/>
    <w:rsid w:val="00B25518"/>
    <w:rsid w:val="00B31A40"/>
    <w:rsid w:val="00B36A0F"/>
    <w:rsid w:val="00B370AA"/>
    <w:rsid w:val="00B40F30"/>
    <w:rsid w:val="00B40FD7"/>
    <w:rsid w:val="00B42D5A"/>
    <w:rsid w:val="00B47B35"/>
    <w:rsid w:val="00B50CC2"/>
    <w:rsid w:val="00B54A78"/>
    <w:rsid w:val="00B55B57"/>
    <w:rsid w:val="00B55C0D"/>
    <w:rsid w:val="00B62466"/>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D3DBE"/>
    <w:rsid w:val="00BE5BA2"/>
    <w:rsid w:val="00BF4936"/>
    <w:rsid w:val="00BF4F14"/>
    <w:rsid w:val="00BF72F3"/>
    <w:rsid w:val="00C14454"/>
    <w:rsid w:val="00C168CC"/>
    <w:rsid w:val="00C2049E"/>
    <w:rsid w:val="00C22590"/>
    <w:rsid w:val="00C22625"/>
    <w:rsid w:val="00C232D4"/>
    <w:rsid w:val="00C2497C"/>
    <w:rsid w:val="00C26113"/>
    <w:rsid w:val="00C26A0C"/>
    <w:rsid w:val="00C41FFD"/>
    <w:rsid w:val="00C50F87"/>
    <w:rsid w:val="00C73826"/>
    <w:rsid w:val="00C73EE9"/>
    <w:rsid w:val="00C767A7"/>
    <w:rsid w:val="00C82524"/>
    <w:rsid w:val="00C8322A"/>
    <w:rsid w:val="00C85C00"/>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0815"/>
    <w:rsid w:val="00D2320E"/>
    <w:rsid w:val="00D40290"/>
    <w:rsid w:val="00D43E57"/>
    <w:rsid w:val="00D44CF5"/>
    <w:rsid w:val="00D53E08"/>
    <w:rsid w:val="00D556D1"/>
    <w:rsid w:val="00D5621B"/>
    <w:rsid w:val="00D56E5E"/>
    <w:rsid w:val="00D64A38"/>
    <w:rsid w:val="00D655C4"/>
    <w:rsid w:val="00D71835"/>
    <w:rsid w:val="00D7245D"/>
    <w:rsid w:val="00D75E5B"/>
    <w:rsid w:val="00D8047A"/>
    <w:rsid w:val="00D819F4"/>
    <w:rsid w:val="00D824B2"/>
    <w:rsid w:val="00D933C0"/>
    <w:rsid w:val="00D936BD"/>
    <w:rsid w:val="00D95D67"/>
    <w:rsid w:val="00DA18C9"/>
    <w:rsid w:val="00DA4AF9"/>
    <w:rsid w:val="00DA719F"/>
    <w:rsid w:val="00DA7394"/>
    <w:rsid w:val="00DB36F0"/>
    <w:rsid w:val="00DB6AC1"/>
    <w:rsid w:val="00DC13B3"/>
    <w:rsid w:val="00DC311D"/>
    <w:rsid w:val="00DD2EF5"/>
    <w:rsid w:val="00DD5416"/>
    <w:rsid w:val="00DE103C"/>
    <w:rsid w:val="00DE7179"/>
    <w:rsid w:val="00DF797B"/>
    <w:rsid w:val="00E00123"/>
    <w:rsid w:val="00E01793"/>
    <w:rsid w:val="00E05402"/>
    <w:rsid w:val="00E12251"/>
    <w:rsid w:val="00E150E5"/>
    <w:rsid w:val="00E30370"/>
    <w:rsid w:val="00E30925"/>
    <w:rsid w:val="00E3358B"/>
    <w:rsid w:val="00E34238"/>
    <w:rsid w:val="00E35D74"/>
    <w:rsid w:val="00E403E8"/>
    <w:rsid w:val="00E41CC9"/>
    <w:rsid w:val="00E42388"/>
    <w:rsid w:val="00E44713"/>
    <w:rsid w:val="00E46B05"/>
    <w:rsid w:val="00E51596"/>
    <w:rsid w:val="00E61914"/>
    <w:rsid w:val="00E65058"/>
    <w:rsid w:val="00E730A7"/>
    <w:rsid w:val="00E73E92"/>
    <w:rsid w:val="00E75474"/>
    <w:rsid w:val="00E85A8A"/>
    <w:rsid w:val="00E86CB9"/>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27ADD"/>
    <w:rsid w:val="00F3104B"/>
    <w:rsid w:val="00F32EDA"/>
    <w:rsid w:val="00F34BFE"/>
    <w:rsid w:val="00F34FCC"/>
    <w:rsid w:val="00F4000F"/>
    <w:rsid w:val="00F42BF4"/>
    <w:rsid w:val="00F4582B"/>
    <w:rsid w:val="00F51E08"/>
    <w:rsid w:val="00F5371A"/>
    <w:rsid w:val="00F54112"/>
    <w:rsid w:val="00F549CB"/>
    <w:rsid w:val="00F55109"/>
    <w:rsid w:val="00F5743B"/>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39AB"/>
    <w:rsid w:val="00FA62E5"/>
    <w:rsid w:val="00FA7DA4"/>
    <w:rsid w:val="00FB0387"/>
    <w:rsid w:val="00FB1179"/>
    <w:rsid w:val="00FB1D01"/>
    <w:rsid w:val="00FB3C7C"/>
    <w:rsid w:val="00FB49BF"/>
    <w:rsid w:val="00FB56E0"/>
    <w:rsid w:val="00FB5EC6"/>
    <w:rsid w:val="00FC05A4"/>
    <w:rsid w:val="00FD0AD4"/>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tabilityoperations.co.uk/care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5" ma:contentTypeDescription="Create a new document." ma:contentTypeScope="" ma:versionID="a98b2fad36b47e6763d570e953837bec">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07a101a0c8f165a46562cf08ea7b297a"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Props1.xml><?xml version="1.0" encoding="utf-8"?>
<ds:datastoreItem xmlns:ds="http://schemas.openxmlformats.org/officeDocument/2006/customXml" ds:itemID="{EDE6407F-AF10-44E9-888A-5D59C47A2692}">
  <ds:schemaRefs>
    <ds:schemaRef ds:uri="http://schemas.openxmlformats.org/officeDocument/2006/bibliography"/>
  </ds:schemaRefs>
</ds:datastoreItem>
</file>

<file path=customXml/itemProps2.xml><?xml version="1.0" encoding="utf-8"?>
<ds:datastoreItem xmlns:ds="http://schemas.openxmlformats.org/officeDocument/2006/customXml" ds:itemID="{CEB15FB3-ABAC-4A97-9277-6E0A01B96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4.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Acland, Steven</cp:lastModifiedBy>
  <cp:revision>5</cp:revision>
  <cp:lastPrinted>2023-09-14T11:01:00Z</cp:lastPrinted>
  <dcterms:created xsi:type="dcterms:W3CDTF">2026-05-22T14:16:00Z</dcterms:created>
  <dcterms:modified xsi:type="dcterms:W3CDTF">2026-05-26T11:00:00Z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SIP_Label_02797972-95f5-4c5d-a2b2-c3b9e4e4b1d4_Enabled">
    <vt:lpwstr>true</vt:lpwstr>
  </property>
  <property fmtid="{D5CDD505-2E9C-101B-9397-08002B2CF9AE}" pid="4" name="MSIP_Label_02797972-95f5-4c5d-a2b2-c3b9e4e4b1d4_SetDate">
    <vt:lpwstr>2026-05-06T11:44:38Z</vt:lpwstr>
  </property>
  <property fmtid="{D5CDD505-2E9C-101B-9397-08002B2CF9AE}" pid="5" name="MSIP_Label_02797972-95f5-4c5d-a2b2-c3b9e4e4b1d4_Method">
    <vt:lpwstr>Privileged</vt:lpwstr>
  </property>
  <property fmtid="{D5CDD505-2E9C-101B-9397-08002B2CF9AE}" pid="6" name="MSIP_Label_02797972-95f5-4c5d-a2b2-c3b9e4e4b1d4_Name">
    <vt:lpwstr>Public</vt:lpwstr>
  </property>
  <property fmtid="{D5CDD505-2E9C-101B-9397-08002B2CF9AE}" pid="7" name="MSIP_Label_02797972-95f5-4c5d-a2b2-c3b9e4e4b1d4_SiteId">
    <vt:lpwstr>bd62c4de-3c33-4404-b229-99701ca75a56</vt:lpwstr>
  </property>
  <property fmtid="{D5CDD505-2E9C-101B-9397-08002B2CF9AE}" pid="8" name="MSIP_Label_02797972-95f5-4c5d-a2b2-c3b9e4e4b1d4_ActionId">
    <vt:lpwstr>e23b689d-5f43-40ba-bf28-0094878e1ecd</vt:lpwstr>
  </property>
  <property fmtid="{D5CDD505-2E9C-101B-9397-08002B2CF9AE}" pid="9" name="MSIP_Label_02797972-95f5-4c5d-a2b2-c3b9e4e4b1d4_ContentBits">
    <vt:lpwstr>0</vt:lpwstr>
  </property>
  <property fmtid="{D5CDD505-2E9C-101B-9397-08002B2CF9AE}" pid="10" name="MSIP_Label_02797972-95f5-4c5d-a2b2-c3b9e4e4b1d4_Tag">
    <vt:lpwstr>10, 0, 1, 1</vt:lpwstr>
  </property>
</Properties>
</file>