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40AAC879" w:rsidR="00B70B86" w:rsidRDefault="008B0E01" w:rsidP="005840E8">
            <w:pPr>
              <w:rPr>
                <w:rFonts w:ascii="Lexend" w:hAnsi="Lexend" w:cstheme="minorHAnsi"/>
                <w:b/>
                <w:color w:val="1739E5"/>
                <w:szCs w:val="24"/>
              </w:rPr>
            </w:pPr>
            <w:r>
              <w:rPr>
                <w:rFonts w:ascii="Lexend" w:hAnsi="Lexend"/>
                <w:bCs/>
                <w:color w:val="808080" w:themeColor="background1" w:themeShade="80"/>
                <w:sz w:val="22"/>
                <w:szCs w:val="22"/>
              </w:rPr>
              <w:t>Agency &amp; Corrections Team Leader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0FDC13DB" w14:textId="77777777" w:rsidR="0023680C" w:rsidRDefault="00C3043F" w:rsidP="00C3043F">
            <w:pPr>
              <w:rPr>
                <w:rFonts w:ascii="Lexend" w:hAnsi="Lexend"/>
                <w:bCs/>
                <w:color w:val="808080" w:themeColor="background1" w:themeShade="80"/>
                <w:sz w:val="22"/>
                <w:szCs w:val="22"/>
              </w:rPr>
            </w:pPr>
            <w:r>
              <w:rPr>
                <w:rFonts w:ascii="Lexend" w:hAnsi="Lexend"/>
                <w:bCs/>
                <w:color w:val="808080" w:themeColor="background1" w:themeShade="80"/>
                <w:sz w:val="22"/>
                <w:szCs w:val="22"/>
              </w:rPr>
              <w:t>Bristol, 35 hours, Minimum three days in office</w:t>
            </w:r>
          </w:p>
          <w:p w14:paraId="31590780" w14:textId="2D52B55B" w:rsidR="00975AC0" w:rsidRPr="00975AC0" w:rsidRDefault="00975AC0" w:rsidP="00C3043F">
            <w:pPr>
              <w:rPr>
                <w:rFonts w:ascii="Lexend" w:hAnsi="Lexend"/>
                <w:bCs/>
                <w:color w:val="808080" w:themeColor="background1" w:themeShade="80"/>
                <w:sz w:val="22"/>
                <w:szCs w:val="22"/>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66D65B1B" w14:textId="71D8547F" w:rsidR="0064242A" w:rsidRPr="0023680C" w:rsidRDefault="0064242A" w:rsidP="008B3C4A">
            <w:pPr>
              <w:rPr>
                <w:rFonts w:ascii="Lexend" w:hAnsi="Lexend"/>
                <w:bCs/>
                <w:color w:val="808080" w:themeColor="background1" w:themeShade="80"/>
                <w:sz w:val="22"/>
                <w:szCs w:val="22"/>
              </w:rPr>
            </w:pPr>
          </w:p>
        </w:tc>
        <w:tc>
          <w:tcPr>
            <w:tcW w:w="5027" w:type="dxa"/>
          </w:tcPr>
          <w:p w14:paraId="48720C2D" w14:textId="11E6E926" w:rsidR="0023680C" w:rsidRPr="00381D80" w:rsidRDefault="0023680C" w:rsidP="002169DF">
            <w:pPr>
              <w:rPr>
                <w:rFonts w:ascii="Lexend" w:hAnsi="Lexend"/>
                <w:bCs/>
                <w:color w:val="808080" w:themeColor="background1" w:themeShade="80"/>
                <w:sz w:val="22"/>
                <w:szCs w:val="22"/>
              </w:rPr>
            </w:pPr>
          </w:p>
        </w:tc>
      </w:tr>
      <w:tr w:rsidR="00005A45" w14:paraId="37D3FE16" w14:textId="77777777" w:rsidTr="0023680C">
        <w:tc>
          <w:tcPr>
            <w:tcW w:w="10054" w:type="dxa"/>
            <w:gridSpan w:val="2"/>
          </w:tcPr>
          <w:p w14:paraId="60A44817" w14:textId="4F8887AD" w:rsidR="00E15BE7" w:rsidRPr="009F6916" w:rsidRDefault="00A335FB" w:rsidP="008A4085">
            <w:pPr>
              <w:rPr>
                <w:rFonts w:ascii="Lexend" w:hAnsi="Lexend"/>
                <w:b/>
                <w:color w:val="1739E5"/>
                <w:szCs w:val="24"/>
              </w:rPr>
            </w:pPr>
            <w:r>
              <w:rPr>
                <w:rFonts w:ascii="Lexend" w:hAnsi="Lexend"/>
                <w:b/>
                <w:color w:val="1739E5"/>
                <w:szCs w:val="24"/>
              </w:rPr>
              <w:t>What you’ll be doing</w:t>
            </w:r>
          </w:p>
          <w:p w14:paraId="71C96572" w14:textId="77777777" w:rsidR="00EA3E7E" w:rsidRPr="00EA3E7E" w:rsidRDefault="00EA3E7E" w:rsidP="00EA3E7E">
            <w:pPr>
              <w:pStyle w:val="NormalWeb"/>
              <w:rPr>
                <w:rFonts w:ascii="Lexend" w:hAnsi="Lexend"/>
                <w:bCs/>
                <w:color w:val="808080" w:themeColor="background1" w:themeShade="80"/>
                <w:sz w:val="22"/>
                <w:szCs w:val="22"/>
                <w:lang w:eastAsia="en-US"/>
              </w:rPr>
            </w:pPr>
            <w:r w:rsidRPr="00EA3E7E">
              <w:rPr>
                <w:rFonts w:ascii="Lexend" w:hAnsi="Lexend"/>
                <w:bCs/>
                <w:color w:val="808080" w:themeColor="background1" w:themeShade="80"/>
                <w:sz w:val="22"/>
                <w:szCs w:val="22"/>
                <w:lang w:eastAsia="en-US"/>
              </w:rPr>
              <w:t>As the Agency &amp; Corrections Team Leader, you will play a key role in ensuring the accuracy and integrity of financial data across the business, while maintaining strong and effective relationships with external agencies. Your primary responsibility will be to lead and supervise a team of eight analysts responsible for agency debt management and financial corrections, supporting the wider business in resolving discrepancies, correcting financial records, and mitigating financial risk.</w:t>
            </w:r>
          </w:p>
          <w:p w14:paraId="5645B5FB" w14:textId="77777777" w:rsidR="00EA3E7E" w:rsidRPr="00EA3E7E" w:rsidRDefault="00EA3E7E" w:rsidP="00EA3E7E">
            <w:pPr>
              <w:pStyle w:val="NormalWeb"/>
              <w:rPr>
                <w:rFonts w:ascii="Lexend" w:hAnsi="Lexend"/>
                <w:bCs/>
                <w:color w:val="808080" w:themeColor="background1" w:themeShade="80"/>
                <w:sz w:val="22"/>
                <w:szCs w:val="22"/>
                <w:lang w:eastAsia="en-US"/>
              </w:rPr>
            </w:pPr>
            <w:r w:rsidRPr="00EA3E7E">
              <w:rPr>
                <w:rFonts w:ascii="Lexend" w:hAnsi="Lexend"/>
                <w:bCs/>
                <w:color w:val="808080" w:themeColor="background1" w:themeShade="80"/>
                <w:sz w:val="22"/>
                <w:szCs w:val="22"/>
                <w:lang w:eastAsia="en-US"/>
              </w:rPr>
              <w:t>You will oversee the day-to-day operations of the Agency &amp; Corrections team, ensuring workloads are effectively managed and priorities are aligned with business needs. Managing a team of eight, you will conduct regular 1:1s, performance reviews, and appraisals, creating tailored development plans to support individual growth and team capability.</w:t>
            </w:r>
          </w:p>
          <w:p w14:paraId="4B6349DB" w14:textId="77777777" w:rsidR="00EA3E7E" w:rsidRDefault="00EA3E7E" w:rsidP="00EA3E7E">
            <w:pPr>
              <w:pStyle w:val="NormalWeb"/>
              <w:rPr>
                <w:rFonts w:ascii="Lexend" w:hAnsi="Lexend"/>
                <w:bCs/>
                <w:color w:val="808080" w:themeColor="background1" w:themeShade="80"/>
                <w:sz w:val="22"/>
                <w:szCs w:val="22"/>
                <w:lang w:eastAsia="en-US"/>
              </w:rPr>
            </w:pPr>
            <w:r w:rsidRPr="00EA3E7E">
              <w:rPr>
                <w:rFonts w:ascii="Lexend" w:hAnsi="Lexend"/>
                <w:bCs/>
                <w:color w:val="808080" w:themeColor="background1" w:themeShade="80"/>
                <w:sz w:val="22"/>
                <w:szCs w:val="22"/>
                <w:lang w:eastAsia="en-US"/>
              </w:rPr>
              <w:t>By setting clear performance objectives, monitoring key performance indicators (KPIs), and providing regular feedback, you will drive high standards of accuracy, efficiency, and accountability within the team. You will ensure robust processes are in place to support accurate financial corrections, clear audit trails, and reliable reporting.</w:t>
            </w:r>
          </w:p>
          <w:p w14:paraId="3676862C" w14:textId="54EA4EEF" w:rsidR="00981B17" w:rsidRPr="00EA3E7E" w:rsidRDefault="00981B17" w:rsidP="00EA3E7E">
            <w:pPr>
              <w:pStyle w:val="NormalWeb"/>
              <w:rPr>
                <w:rFonts w:ascii="Lexend" w:hAnsi="Lexend"/>
                <w:bCs/>
                <w:color w:val="808080" w:themeColor="background1" w:themeShade="80"/>
                <w:sz w:val="22"/>
                <w:szCs w:val="22"/>
                <w:lang w:eastAsia="en-US"/>
              </w:rPr>
            </w:pPr>
            <w:r w:rsidRPr="00981B17">
              <w:rPr>
                <w:rFonts w:ascii="Lexend" w:hAnsi="Lexend"/>
                <w:bCs/>
                <w:color w:val="808080" w:themeColor="background1" w:themeShade="80"/>
                <w:sz w:val="22"/>
                <w:szCs w:val="22"/>
                <w:lang w:eastAsia="en-US"/>
              </w:rPr>
              <w:t>There will be elements of the team’s day-to-day activities where you will be required to step in and directly action work, particularly where issues are complex, time-critical, or require additional expertise. This will require a sound understanding of debt management processes, agency interactions, and financial correction principles to ensure continuity of service and timely resolution.</w:t>
            </w:r>
          </w:p>
          <w:p w14:paraId="3B153113" w14:textId="77777777" w:rsidR="00EA3E7E" w:rsidRPr="00EA3E7E" w:rsidRDefault="00EA3E7E" w:rsidP="00EA3E7E">
            <w:pPr>
              <w:pStyle w:val="NormalWeb"/>
              <w:rPr>
                <w:rFonts w:ascii="Lexend" w:hAnsi="Lexend"/>
                <w:bCs/>
                <w:color w:val="808080" w:themeColor="background1" w:themeShade="80"/>
                <w:sz w:val="22"/>
                <w:szCs w:val="22"/>
                <w:lang w:eastAsia="en-US"/>
              </w:rPr>
            </w:pPr>
            <w:r w:rsidRPr="00EA3E7E">
              <w:rPr>
                <w:rFonts w:ascii="Lexend" w:hAnsi="Lexend"/>
                <w:bCs/>
                <w:color w:val="808080" w:themeColor="background1" w:themeShade="80"/>
                <w:sz w:val="22"/>
                <w:szCs w:val="22"/>
                <w:lang w:eastAsia="en-US"/>
              </w:rPr>
              <w:t xml:space="preserve">In this role, you will support the Finance Operations Manager with activities such as forecasting, budgeting, data analysis, and supporting KPMG audits throughout the year, ensuring the business has a clear and accurate view of agency debt positions, financial corrections, and potential exposure. You will proactively identify trends, risks, and improvement opportunities within large and complex data sets, </w:t>
            </w:r>
            <w:proofErr w:type="gramStart"/>
            <w:r w:rsidRPr="00EA3E7E">
              <w:rPr>
                <w:rFonts w:ascii="Lexend" w:hAnsi="Lexend"/>
                <w:bCs/>
                <w:color w:val="808080" w:themeColor="background1" w:themeShade="80"/>
                <w:sz w:val="22"/>
                <w:szCs w:val="22"/>
                <w:lang w:eastAsia="en-US"/>
              </w:rPr>
              <w:t>ensuring audit readiness and compliance at all times</w:t>
            </w:r>
            <w:proofErr w:type="gramEnd"/>
            <w:r w:rsidRPr="00EA3E7E">
              <w:rPr>
                <w:rFonts w:ascii="Lexend" w:hAnsi="Lexend"/>
                <w:bCs/>
                <w:color w:val="808080" w:themeColor="background1" w:themeShade="80"/>
                <w:sz w:val="22"/>
                <w:szCs w:val="22"/>
                <w:lang w:eastAsia="en-US"/>
              </w:rPr>
              <w:t>.</w:t>
            </w:r>
          </w:p>
          <w:p w14:paraId="37086990" w14:textId="77777777" w:rsidR="00EA3E7E" w:rsidRPr="00EA3E7E" w:rsidRDefault="00EA3E7E" w:rsidP="00EA3E7E">
            <w:pPr>
              <w:pStyle w:val="NormalWeb"/>
              <w:rPr>
                <w:rFonts w:ascii="Lexend" w:hAnsi="Lexend"/>
                <w:bCs/>
                <w:color w:val="808080" w:themeColor="background1" w:themeShade="80"/>
                <w:sz w:val="22"/>
                <w:szCs w:val="22"/>
                <w:lang w:eastAsia="en-US"/>
              </w:rPr>
            </w:pPr>
            <w:r w:rsidRPr="00EA3E7E">
              <w:rPr>
                <w:rFonts w:ascii="Lexend" w:hAnsi="Lexend"/>
                <w:bCs/>
                <w:color w:val="808080" w:themeColor="background1" w:themeShade="80"/>
                <w:sz w:val="22"/>
                <w:szCs w:val="22"/>
                <w:lang w:eastAsia="en-US"/>
              </w:rPr>
              <w:t>Building and maintaining strong working relationships with external agencies will be a critical aspect of the role. You will act as a key point of contact for agencies, resolving issues collaboratively and ensuring timely and accurate information exchange.</w:t>
            </w:r>
          </w:p>
          <w:p w14:paraId="58C693F9" w14:textId="77777777" w:rsidR="00EA3E7E" w:rsidRPr="00EA3E7E" w:rsidRDefault="00EA3E7E" w:rsidP="00EA3E7E">
            <w:pPr>
              <w:pStyle w:val="NormalWeb"/>
              <w:rPr>
                <w:rFonts w:ascii="Lexend" w:hAnsi="Lexend"/>
                <w:bCs/>
                <w:color w:val="808080" w:themeColor="background1" w:themeShade="80"/>
                <w:sz w:val="22"/>
                <w:szCs w:val="22"/>
                <w:lang w:eastAsia="en-US"/>
              </w:rPr>
            </w:pPr>
            <w:r w:rsidRPr="00EA3E7E">
              <w:rPr>
                <w:rFonts w:ascii="Lexend" w:hAnsi="Lexend"/>
                <w:bCs/>
                <w:color w:val="808080" w:themeColor="background1" w:themeShade="80"/>
                <w:sz w:val="22"/>
                <w:szCs w:val="22"/>
                <w:lang w:eastAsia="en-US"/>
              </w:rPr>
              <w:t>As a team leader, you will work closely with internal MO functions, including Finance and In Life Services, and other relevant teams. You will contribute to cross-functional forums, provide input into dashboards and reporting, and help drive continuous improvement across end-to-end financial correction and agency processes.</w:t>
            </w:r>
          </w:p>
          <w:p w14:paraId="3FF51283" w14:textId="0A5192F7" w:rsidR="009D33DE" w:rsidRPr="00005A45" w:rsidRDefault="009D33DE" w:rsidP="008A4085">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16FE74CB" w14:textId="77777777" w:rsidR="003D364B" w:rsidRPr="003D364B" w:rsidRDefault="003D364B" w:rsidP="003D364B">
            <w:pPr>
              <w:rPr>
                <w:rFonts w:ascii="Lexend" w:hAnsi="Lexend"/>
                <w:bCs/>
                <w:color w:val="808080" w:themeColor="background1" w:themeShade="80"/>
                <w:sz w:val="22"/>
                <w:szCs w:val="22"/>
              </w:rPr>
            </w:pPr>
            <w:r w:rsidRPr="003D364B">
              <w:rPr>
                <w:rFonts w:ascii="Lexend" w:hAnsi="Lexend"/>
                <w:bCs/>
                <w:color w:val="808080" w:themeColor="background1" w:themeShade="80"/>
                <w:sz w:val="22"/>
                <w:szCs w:val="22"/>
              </w:rPr>
              <w:lastRenderedPageBreak/>
              <w:t>We are looking for a confident and experienced people leader with a strong background in financial corrections, credit control, and data analysis. You will have a solid understanding of how financial data flows through the business and how agency interactions impact overall financial accuracy, audit requirements, and risk.</w:t>
            </w:r>
          </w:p>
          <w:p w14:paraId="3AD3585A" w14:textId="77777777" w:rsidR="003D364B" w:rsidRPr="003D364B" w:rsidRDefault="003D364B" w:rsidP="003D364B">
            <w:pPr>
              <w:rPr>
                <w:rFonts w:ascii="Lexend" w:hAnsi="Lexend"/>
                <w:bCs/>
                <w:color w:val="808080" w:themeColor="background1" w:themeShade="80"/>
                <w:sz w:val="22"/>
                <w:szCs w:val="22"/>
              </w:rPr>
            </w:pPr>
            <w:r w:rsidRPr="003D364B">
              <w:rPr>
                <w:rFonts w:ascii="Lexend" w:hAnsi="Lexend"/>
                <w:bCs/>
                <w:color w:val="808080" w:themeColor="background1" w:themeShade="80"/>
                <w:sz w:val="22"/>
                <w:szCs w:val="22"/>
              </w:rPr>
              <w:t>You will be comfortable working with large and complex data sets, analysing trends, identifying root causes, and making clear, evidence-based recommendations. You will have the ability to translate data insights into practical actions that support forecasting, budgeting, and audit activity.</w:t>
            </w:r>
          </w:p>
          <w:p w14:paraId="58F14EE8" w14:textId="77777777" w:rsidR="003D364B" w:rsidRPr="003D364B" w:rsidRDefault="003D364B" w:rsidP="003D364B">
            <w:pPr>
              <w:rPr>
                <w:rFonts w:ascii="Lexend" w:hAnsi="Lexend"/>
                <w:bCs/>
                <w:color w:val="808080" w:themeColor="background1" w:themeShade="80"/>
                <w:sz w:val="22"/>
                <w:szCs w:val="22"/>
              </w:rPr>
            </w:pPr>
            <w:r w:rsidRPr="003D364B">
              <w:rPr>
                <w:rFonts w:ascii="Lexend" w:hAnsi="Lexend"/>
                <w:bCs/>
                <w:color w:val="808080" w:themeColor="background1" w:themeShade="80"/>
                <w:sz w:val="22"/>
                <w:szCs w:val="22"/>
              </w:rPr>
              <w:t>You will be motivated to lead, inspire, and develop a diverse team, adapting your leadership style to suit individual needs while maintaining consistent standards. Strong communication skills are essential, as you will regularly engage with senior management, internal stakeholders, and external agencies to resolve issues and support audit processes.</w:t>
            </w:r>
          </w:p>
          <w:p w14:paraId="4F6FFE38" w14:textId="5E9F0E8F" w:rsidR="0023680C" w:rsidRPr="003D364B" w:rsidRDefault="007D6A87" w:rsidP="003D364B">
            <w:pPr>
              <w:rPr>
                <w:rFonts w:ascii="Lexend" w:hAnsi="Lexend"/>
                <w:bCs/>
                <w:color w:val="808080" w:themeColor="background1" w:themeShade="80"/>
                <w:sz w:val="22"/>
                <w:szCs w:val="22"/>
              </w:rPr>
            </w:pPr>
            <w:r w:rsidRPr="007D6A87">
              <w:rPr>
                <w:rFonts w:ascii="Lexend" w:hAnsi="Lexend"/>
                <w:bCs/>
                <w:color w:val="808080" w:themeColor="background1" w:themeShade="80"/>
                <w:sz w:val="22"/>
                <w:szCs w:val="22"/>
              </w:rPr>
              <w:t>.</w:t>
            </w: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5DDA9318" w14:textId="20599006" w:rsidR="005C58E7" w:rsidRDefault="005C58E7" w:rsidP="003F4018">
            <w:pPr>
              <w:rPr>
                <w:rFonts w:ascii="Lexend" w:hAnsi="Lexend"/>
                <w:bCs/>
                <w:color w:val="808080" w:themeColor="background1" w:themeShade="80"/>
                <w:sz w:val="22"/>
                <w:szCs w:val="22"/>
              </w:rPr>
            </w:pPr>
            <w:r w:rsidRPr="0038629B">
              <w:rPr>
                <w:rFonts w:ascii="Lexend" w:hAnsi="Lexend" w:cstheme="minorHAnsi"/>
                <w:bCs/>
                <w:sz w:val="20"/>
                <w:szCs w:val="16"/>
              </w:rPr>
              <w:t>You’ll need all of these</w:t>
            </w:r>
            <w:r>
              <w:rPr>
                <w:rFonts w:ascii="Lexend" w:hAnsi="Lexend" w:cstheme="minorHAnsi"/>
                <w:bCs/>
                <w:sz w:val="20"/>
                <w:szCs w:val="16"/>
              </w:rPr>
              <w:t>.</w:t>
            </w:r>
          </w:p>
          <w:p w14:paraId="79EACF16" w14:textId="1EE3A4B8" w:rsidR="00C57DF0" w:rsidRPr="00C57DF0" w:rsidRDefault="00C57DF0" w:rsidP="00C57DF0">
            <w:pPr>
              <w:pStyle w:val="NormalWeb"/>
              <w:numPr>
                <w:ilvl w:val="0"/>
                <w:numId w:val="40"/>
              </w:numPr>
              <w:rPr>
                <w:rFonts w:ascii="Lexend" w:hAnsi="Lexend"/>
                <w:bCs/>
                <w:color w:val="808080" w:themeColor="background1" w:themeShade="80"/>
                <w:sz w:val="22"/>
                <w:szCs w:val="22"/>
                <w:lang w:eastAsia="en-US"/>
              </w:rPr>
            </w:pPr>
            <w:r w:rsidRPr="00C57DF0">
              <w:rPr>
                <w:rFonts w:ascii="Lexend" w:hAnsi="Lexend"/>
                <w:bCs/>
                <w:color w:val="808080" w:themeColor="background1" w:themeShade="80"/>
                <w:sz w:val="22"/>
                <w:szCs w:val="22"/>
                <w:lang w:eastAsia="en-US"/>
              </w:rPr>
              <w:t>Proven experience in people management</w:t>
            </w:r>
          </w:p>
          <w:p w14:paraId="0519068C" w14:textId="77777777" w:rsidR="00C57DF0" w:rsidRPr="00C57DF0" w:rsidRDefault="00C57DF0" w:rsidP="00C57DF0">
            <w:pPr>
              <w:pStyle w:val="NormalWeb"/>
              <w:numPr>
                <w:ilvl w:val="0"/>
                <w:numId w:val="40"/>
              </w:numPr>
              <w:rPr>
                <w:rFonts w:ascii="Lexend" w:hAnsi="Lexend"/>
                <w:bCs/>
                <w:color w:val="808080" w:themeColor="background1" w:themeShade="80"/>
                <w:sz w:val="22"/>
                <w:szCs w:val="22"/>
                <w:lang w:eastAsia="en-US"/>
              </w:rPr>
            </w:pPr>
            <w:r w:rsidRPr="00C57DF0">
              <w:rPr>
                <w:rFonts w:ascii="Lexend" w:hAnsi="Lexend"/>
                <w:bCs/>
                <w:color w:val="808080" w:themeColor="background1" w:themeShade="80"/>
                <w:sz w:val="22"/>
                <w:szCs w:val="22"/>
                <w:lang w:eastAsia="en-US"/>
              </w:rPr>
              <w:t>Demonstrable experience in financial corrections and credit control</w:t>
            </w:r>
          </w:p>
          <w:p w14:paraId="5E2FED16" w14:textId="2EF19620" w:rsidR="00C57DF0" w:rsidRPr="00C57DF0" w:rsidRDefault="00C57DF0" w:rsidP="00C57DF0">
            <w:pPr>
              <w:pStyle w:val="NormalWeb"/>
              <w:numPr>
                <w:ilvl w:val="0"/>
                <w:numId w:val="40"/>
              </w:numPr>
              <w:rPr>
                <w:rFonts w:ascii="Lexend" w:hAnsi="Lexend"/>
                <w:bCs/>
                <w:color w:val="808080" w:themeColor="background1" w:themeShade="80"/>
                <w:sz w:val="22"/>
                <w:szCs w:val="22"/>
                <w:lang w:eastAsia="en-US"/>
              </w:rPr>
            </w:pPr>
            <w:r w:rsidRPr="00C57DF0">
              <w:rPr>
                <w:rFonts w:ascii="Lexend" w:hAnsi="Lexend"/>
                <w:bCs/>
                <w:color w:val="808080" w:themeColor="background1" w:themeShade="80"/>
                <w:sz w:val="22"/>
                <w:szCs w:val="22"/>
                <w:lang w:eastAsia="en-US"/>
              </w:rPr>
              <w:t>Strong data analysis skills, including working with large and complex data sets</w:t>
            </w:r>
          </w:p>
          <w:p w14:paraId="6FA75D53" w14:textId="6963F6A8" w:rsidR="00C57DF0" w:rsidRPr="00C57DF0" w:rsidRDefault="00C57DF0" w:rsidP="00C57DF0">
            <w:pPr>
              <w:pStyle w:val="NormalWeb"/>
              <w:numPr>
                <w:ilvl w:val="0"/>
                <w:numId w:val="40"/>
              </w:numPr>
              <w:rPr>
                <w:rFonts w:ascii="Lexend" w:hAnsi="Lexend"/>
                <w:bCs/>
                <w:color w:val="808080" w:themeColor="background1" w:themeShade="80"/>
                <w:sz w:val="22"/>
                <w:szCs w:val="22"/>
                <w:lang w:eastAsia="en-US"/>
              </w:rPr>
            </w:pPr>
            <w:r w:rsidRPr="00C57DF0">
              <w:rPr>
                <w:rFonts w:ascii="Lexend" w:hAnsi="Lexend"/>
                <w:bCs/>
                <w:color w:val="808080" w:themeColor="background1" w:themeShade="80"/>
                <w:sz w:val="22"/>
                <w:szCs w:val="22"/>
                <w:lang w:eastAsia="en-US"/>
              </w:rPr>
              <w:t>Experience supporting internal or external audits</w:t>
            </w:r>
          </w:p>
          <w:p w14:paraId="02B42E6B" w14:textId="43A1733F" w:rsidR="00C57DF0" w:rsidRPr="00C57DF0" w:rsidRDefault="00C57DF0" w:rsidP="00C57DF0">
            <w:pPr>
              <w:pStyle w:val="NormalWeb"/>
              <w:numPr>
                <w:ilvl w:val="0"/>
                <w:numId w:val="40"/>
              </w:numPr>
              <w:rPr>
                <w:rFonts w:ascii="Lexend" w:hAnsi="Lexend"/>
                <w:bCs/>
                <w:color w:val="808080" w:themeColor="background1" w:themeShade="80"/>
                <w:sz w:val="22"/>
                <w:szCs w:val="22"/>
                <w:lang w:eastAsia="en-US"/>
              </w:rPr>
            </w:pPr>
            <w:r w:rsidRPr="00C57DF0">
              <w:rPr>
                <w:rFonts w:ascii="Lexend" w:hAnsi="Lexend"/>
                <w:bCs/>
                <w:color w:val="808080" w:themeColor="background1" w:themeShade="80"/>
                <w:sz w:val="22"/>
                <w:szCs w:val="22"/>
                <w:lang w:eastAsia="en-US"/>
              </w:rPr>
              <w:t>Ability to interpret financial data and provide clear insights and recommendations</w:t>
            </w:r>
          </w:p>
          <w:p w14:paraId="55657CB0" w14:textId="2565FE46" w:rsidR="00C57DF0" w:rsidRPr="00C57DF0" w:rsidRDefault="00C57DF0" w:rsidP="00C57DF0">
            <w:pPr>
              <w:pStyle w:val="NormalWeb"/>
              <w:numPr>
                <w:ilvl w:val="0"/>
                <w:numId w:val="40"/>
              </w:numPr>
              <w:rPr>
                <w:rFonts w:ascii="Lexend" w:hAnsi="Lexend"/>
                <w:bCs/>
                <w:color w:val="808080" w:themeColor="background1" w:themeShade="80"/>
                <w:sz w:val="22"/>
                <w:szCs w:val="22"/>
                <w:lang w:eastAsia="en-US"/>
              </w:rPr>
            </w:pPr>
            <w:r w:rsidRPr="00C57DF0">
              <w:rPr>
                <w:rFonts w:ascii="Lexend" w:hAnsi="Lexend"/>
                <w:bCs/>
                <w:color w:val="808080" w:themeColor="background1" w:themeShade="80"/>
                <w:sz w:val="22"/>
                <w:szCs w:val="22"/>
                <w:lang w:eastAsia="en-US"/>
              </w:rPr>
              <w:t>Excellent communication and stakeholder management skills</w:t>
            </w:r>
          </w:p>
          <w:p w14:paraId="316D4029" w14:textId="197DE1CD" w:rsidR="00C57DF0" w:rsidRPr="00C57DF0" w:rsidRDefault="00C57DF0" w:rsidP="00C57DF0">
            <w:pPr>
              <w:pStyle w:val="NormalWeb"/>
              <w:numPr>
                <w:ilvl w:val="0"/>
                <w:numId w:val="40"/>
              </w:numPr>
              <w:rPr>
                <w:rFonts w:ascii="Lexend" w:hAnsi="Lexend"/>
                <w:bCs/>
                <w:color w:val="808080" w:themeColor="background1" w:themeShade="80"/>
                <w:sz w:val="22"/>
                <w:szCs w:val="22"/>
                <w:lang w:eastAsia="en-US"/>
              </w:rPr>
            </w:pPr>
            <w:r w:rsidRPr="00C57DF0">
              <w:rPr>
                <w:rFonts w:ascii="Lexend" w:hAnsi="Lexend"/>
                <w:bCs/>
                <w:color w:val="808080" w:themeColor="background1" w:themeShade="80"/>
                <w:sz w:val="22"/>
                <w:szCs w:val="22"/>
                <w:lang w:eastAsia="en-US"/>
              </w:rPr>
              <w:t>Strong organisational, planning, and administrative capabilities</w:t>
            </w:r>
          </w:p>
          <w:p w14:paraId="474335AB" w14:textId="4755515E" w:rsidR="00C57DF0" w:rsidRPr="00C57DF0" w:rsidRDefault="00C57DF0" w:rsidP="00C57DF0">
            <w:pPr>
              <w:pStyle w:val="NormalWeb"/>
              <w:numPr>
                <w:ilvl w:val="0"/>
                <w:numId w:val="40"/>
              </w:numPr>
              <w:rPr>
                <w:rFonts w:ascii="Lexend" w:hAnsi="Lexend"/>
                <w:bCs/>
                <w:color w:val="808080" w:themeColor="background1" w:themeShade="80"/>
                <w:sz w:val="22"/>
                <w:szCs w:val="22"/>
                <w:lang w:eastAsia="en-US"/>
              </w:rPr>
            </w:pPr>
            <w:r w:rsidRPr="00C57DF0">
              <w:rPr>
                <w:rFonts w:ascii="Lexend" w:hAnsi="Lexend"/>
                <w:bCs/>
                <w:color w:val="808080" w:themeColor="background1" w:themeShade="80"/>
                <w:sz w:val="22"/>
                <w:szCs w:val="22"/>
                <w:lang w:eastAsia="en-US"/>
              </w:rPr>
              <w:t>Ability to anticipate issues, assess risk, and take proactive action</w:t>
            </w:r>
          </w:p>
          <w:p w14:paraId="786EB39D" w14:textId="79ED14FD" w:rsidR="00C57DF0" w:rsidRPr="00C57DF0" w:rsidRDefault="00C57DF0" w:rsidP="00C57DF0">
            <w:pPr>
              <w:pStyle w:val="NormalWeb"/>
              <w:numPr>
                <w:ilvl w:val="0"/>
                <w:numId w:val="40"/>
              </w:numPr>
              <w:rPr>
                <w:rFonts w:ascii="Lexend" w:hAnsi="Lexend"/>
                <w:bCs/>
                <w:color w:val="808080" w:themeColor="background1" w:themeShade="80"/>
                <w:sz w:val="22"/>
                <w:szCs w:val="22"/>
                <w:lang w:eastAsia="en-US"/>
              </w:rPr>
            </w:pPr>
            <w:r w:rsidRPr="00C57DF0">
              <w:rPr>
                <w:rFonts w:ascii="Lexend" w:hAnsi="Lexend"/>
                <w:bCs/>
                <w:color w:val="808080" w:themeColor="background1" w:themeShade="80"/>
                <w:sz w:val="22"/>
                <w:szCs w:val="22"/>
                <w:lang w:eastAsia="en-US"/>
              </w:rPr>
              <w:t>Proven ability to collaborate effectively across teams and with external agencies</w:t>
            </w:r>
          </w:p>
          <w:p w14:paraId="49ED8DB6" w14:textId="1F63B3AF" w:rsidR="00C57DF0" w:rsidRPr="00C57DF0" w:rsidRDefault="00C57DF0" w:rsidP="00C57DF0">
            <w:pPr>
              <w:pStyle w:val="NormalWeb"/>
              <w:numPr>
                <w:ilvl w:val="0"/>
                <w:numId w:val="40"/>
              </w:numPr>
              <w:rPr>
                <w:rFonts w:ascii="Lexend" w:hAnsi="Lexend"/>
                <w:bCs/>
                <w:color w:val="808080" w:themeColor="background1" w:themeShade="80"/>
                <w:sz w:val="22"/>
                <w:szCs w:val="22"/>
                <w:lang w:eastAsia="en-US"/>
              </w:rPr>
            </w:pPr>
            <w:r w:rsidRPr="00C57DF0">
              <w:rPr>
                <w:rFonts w:ascii="Lexend" w:hAnsi="Lexend"/>
                <w:bCs/>
                <w:color w:val="808080" w:themeColor="background1" w:themeShade="80"/>
                <w:sz w:val="22"/>
                <w:szCs w:val="22"/>
                <w:lang w:eastAsia="en-US"/>
              </w:rPr>
              <w:t>Proficiency in Microsoft packages, particularly Excel, and experience using systems such as Alfa, Genesys, and familiarity with OAS</w:t>
            </w: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49718A7C" w14:textId="56865A26" w:rsidR="00A44BF3" w:rsidRPr="000440CE" w:rsidRDefault="00F01AD4" w:rsidP="00ED2AD0">
            <w:pPr>
              <w:rPr>
                <w:rFonts w:ascii="Lexend" w:hAnsi="Lexend"/>
                <w:bCs/>
                <w:color w:val="808080" w:themeColor="background1" w:themeShade="80"/>
                <w:sz w:val="22"/>
                <w:szCs w:val="22"/>
              </w:rPr>
            </w:pPr>
            <w:r w:rsidRPr="000440CE">
              <w:rPr>
                <w:rFonts w:ascii="Lexend" w:hAnsi="Lexend"/>
                <w:bCs/>
                <w:color w:val="808080" w:themeColor="background1" w:themeShade="80"/>
                <w:sz w:val="22"/>
                <w:szCs w:val="22"/>
              </w:rPr>
              <w:t>As the Agency &amp; Corrections Team Leader, you will lead a team of eight responsible for managing agency debt and supporting the business with accurate and timely financial corrections. You will provide guidance, coaching, and support to ensure the team delivers high-quality outcomes and meets agreed performance standards, including audit readiness.</w:t>
            </w:r>
          </w:p>
          <w:p w14:paraId="3D6BBCE3" w14:textId="77777777" w:rsidR="00867B86" w:rsidRPr="000440CE" w:rsidRDefault="00867B86" w:rsidP="00ED2AD0">
            <w:pPr>
              <w:rPr>
                <w:rFonts w:ascii="Lexend" w:hAnsi="Lexend"/>
                <w:bCs/>
                <w:color w:val="808080" w:themeColor="background1" w:themeShade="80"/>
                <w:sz w:val="22"/>
                <w:szCs w:val="22"/>
              </w:rPr>
            </w:pPr>
          </w:p>
          <w:p w14:paraId="13466DE5" w14:textId="090109DC" w:rsidR="008B5EC7" w:rsidRPr="003F4018" w:rsidRDefault="00ED2AD0" w:rsidP="00F839FD">
            <w:pPr>
              <w:rPr>
                <w:rFonts w:ascii="Lexend" w:hAnsi="Lexend"/>
                <w:bCs/>
                <w:color w:val="808080" w:themeColor="background1" w:themeShade="80"/>
                <w:sz w:val="22"/>
                <w:szCs w:val="22"/>
              </w:rPr>
            </w:pPr>
            <w:r w:rsidRPr="000440CE">
              <w:rPr>
                <w:rFonts w:ascii="Lexend" w:hAnsi="Lexend"/>
                <w:bCs/>
                <w:color w:val="808080" w:themeColor="background1" w:themeShade="80"/>
                <w:sz w:val="22"/>
                <w:szCs w:val="22"/>
              </w:rPr>
              <w:t>Beyond your immediate team,</w:t>
            </w:r>
            <w:r w:rsidR="00D812F9" w:rsidRPr="000440CE">
              <w:rPr>
                <w:rFonts w:ascii="Lexend" w:hAnsi="Lexend"/>
                <w:bCs/>
                <w:color w:val="808080" w:themeColor="background1" w:themeShade="80"/>
                <w:sz w:val="22"/>
                <w:szCs w:val="22"/>
              </w:rPr>
              <w:t xml:space="preserve"> </w:t>
            </w:r>
            <w:r w:rsidR="000440CE" w:rsidRPr="000440CE">
              <w:rPr>
                <w:rFonts w:ascii="Lexend" w:hAnsi="Lexend"/>
                <w:bCs/>
                <w:color w:val="808080" w:themeColor="background1" w:themeShade="80"/>
                <w:sz w:val="22"/>
                <w:szCs w:val="22"/>
              </w:rPr>
              <w:t>you</w:t>
            </w:r>
            <w:r w:rsidR="00D812F9" w:rsidRPr="000440CE">
              <w:rPr>
                <w:rFonts w:ascii="Lexend" w:hAnsi="Lexend"/>
                <w:bCs/>
                <w:color w:val="808080" w:themeColor="background1" w:themeShade="80"/>
                <w:sz w:val="22"/>
                <w:szCs w:val="22"/>
              </w:rPr>
              <w:t xml:space="preserve"> will work closely with the Customer Accounts Team Leader and Finance Operations Team Leader, reporting into the Finance Operations Manager, to support effective financial governance, forecasting</w:t>
            </w:r>
            <w:r w:rsidR="00FA5B3C" w:rsidRPr="000440CE">
              <w:rPr>
                <w:rFonts w:ascii="Lexend" w:hAnsi="Lexend"/>
                <w:bCs/>
                <w:color w:val="808080" w:themeColor="background1" w:themeShade="80"/>
                <w:sz w:val="22"/>
                <w:szCs w:val="22"/>
              </w:rPr>
              <w:t xml:space="preserve">, </w:t>
            </w:r>
            <w:r w:rsidR="00D812F9" w:rsidRPr="000440CE">
              <w:rPr>
                <w:rFonts w:ascii="Lexend" w:hAnsi="Lexend"/>
                <w:bCs/>
                <w:color w:val="808080" w:themeColor="background1" w:themeShade="80"/>
                <w:sz w:val="22"/>
                <w:szCs w:val="22"/>
              </w:rPr>
              <w:t>operational delivery</w:t>
            </w:r>
            <w:r w:rsidR="00FA5B3C" w:rsidRPr="000440CE">
              <w:rPr>
                <w:rFonts w:ascii="Lexend" w:hAnsi="Lexend"/>
                <w:bCs/>
                <w:color w:val="808080" w:themeColor="background1" w:themeShade="80"/>
                <w:sz w:val="22"/>
                <w:szCs w:val="22"/>
              </w:rPr>
              <w:t xml:space="preserve"> and KPMG audits throughout the year</w:t>
            </w:r>
            <w:r w:rsidR="00D812F9" w:rsidRPr="000440CE">
              <w:rPr>
                <w:rFonts w:ascii="Lexend" w:hAnsi="Lexend"/>
                <w:bCs/>
                <w:color w:val="808080" w:themeColor="background1" w:themeShade="80"/>
                <w:sz w:val="22"/>
                <w:szCs w:val="22"/>
              </w:rPr>
              <w:t>.</w:t>
            </w:r>
            <w:r w:rsidR="00FA5B3C" w:rsidRPr="000440CE">
              <w:rPr>
                <w:rFonts w:ascii="Lexend" w:hAnsi="Lexend"/>
                <w:bCs/>
                <w:color w:val="808080" w:themeColor="background1" w:themeShade="80"/>
                <w:sz w:val="22"/>
                <w:szCs w:val="22"/>
              </w:rPr>
              <w:t xml:space="preserve"> </w:t>
            </w:r>
            <w:r w:rsidRPr="000440CE">
              <w:rPr>
                <w:rFonts w:ascii="Lexend" w:hAnsi="Lexend"/>
                <w:bCs/>
                <w:color w:val="808080" w:themeColor="background1" w:themeShade="80"/>
                <w:sz w:val="22"/>
                <w:szCs w:val="22"/>
              </w:rPr>
              <w:t xml:space="preserve"> </w:t>
            </w:r>
            <w:r w:rsidR="000440CE" w:rsidRPr="000440CE">
              <w:rPr>
                <w:rFonts w:ascii="Lexend" w:hAnsi="Lexend"/>
                <w:bCs/>
                <w:color w:val="808080" w:themeColor="background1" w:themeShade="80"/>
                <w:sz w:val="22"/>
                <w:szCs w:val="22"/>
              </w:rPr>
              <w:t>You will also collaborate with internal departments and external benefit agencies, building strong relationships to ensure effective issue resolution and continuous process improvement.</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602C0F5D" w14:textId="77777777" w:rsidR="0023680C" w:rsidRDefault="0023680C" w:rsidP="00ED2AD0">
            <w:pPr>
              <w:rPr>
                <w:rFonts w:ascii="Lexend" w:hAnsi="Lexend"/>
                <w:bCs/>
                <w:color w:val="808080" w:themeColor="background1" w:themeShade="80"/>
                <w:sz w:val="22"/>
                <w:szCs w:val="22"/>
              </w:rPr>
            </w:pPr>
          </w:p>
          <w:p w14:paraId="360CB41B" w14:textId="6CB58EAD" w:rsidR="00962966" w:rsidRPr="0000448C" w:rsidRDefault="00962966" w:rsidP="00ED2AD0">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lastRenderedPageBreak/>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lastRenderedPageBreak/>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E7EF" w14:textId="77777777" w:rsidR="00212A27" w:rsidRDefault="00212A27">
      <w:r>
        <w:separator/>
      </w:r>
    </w:p>
  </w:endnote>
  <w:endnote w:type="continuationSeparator" w:id="0">
    <w:p w14:paraId="602B6C7C" w14:textId="77777777" w:rsidR="00212A27" w:rsidRDefault="0021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1CFD" w14:textId="77777777" w:rsidR="00212A27" w:rsidRDefault="00212A27">
      <w:r>
        <w:separator/>
      </w:r>
    </w:p>
  </w:footnote>
  <w:footnote w:type="continuationSeparator" w:id="0">
    <w:p w14:paraId="14C801C3" w14:textId="77777777" w:rsidR="00212A27" w:rsidRDefault="0021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37021"/>
    <w:multiLevelType w:val="multilevel"/>
    <w:tmpl w:val="D23C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F37D1"/>
    <w:multiLevelType w:val="hybridMultilevel"/>
    <w:tmpl w:val="F57C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4"/>
  </w:num>
  <w:num w:numId="5" w16cid:durableId="1104616596">
    <w:abstractNumId w:val="39"/>
  </w:num>
  <w:num w:numId="6" w16cid:durableId="1645037857">
    <w:abstractNumId w:val="12"/>
  </w:num>
  <w:num w:numId="7" w16cid:durableId="941182358">
    <w:abstractNumId w:val="3"/>
  </w:num>
  <w:num w:numId="8" w16cid:durableId="118496352">
    <w:abstractNumId w:val="8"/>
  </w:num>
  <w:num w:numId="9" w16cid:durableId="48961000">
    <w:abstractNumId w:val="36"/>
  </w:num>
  <w:num w:numId="10" w16cid:durableId="1236814170">
    <w:abstractNumId w:val="15"/>
  </w:num>
  <w:num w:numId="11" w16cid:durableId="924845669">
    <w:abstractNumId w:val="31"/>
  </w:num>
  <w:num w:numId="12" w16cid:durableId="1586959621">
    <w:abstractNumId w:val="35"/>
  </w:num>
  <w:num w:numId="13" w16cid:durableId="1973634893">
    <w:abstractNumId w:val="10"/>
  </w:num>
  <w:num w:numId="14" w16cid:durableId="1438604040">
    <w:abstractNumId w:val="22"/>
  </w:num>
  <w:num w:numId="15" w16cid:durableId="1513494444">
    <w:abstractNumId w:val="20"/>
  </w:num>
  <w:num w:numId="16" w16cid:durableId="1747654335">
    <w:abstractNumId w:val="29"/>
  </w:num>
  <w:num w:numId="17" w16cid:durableId="1169827613">
    <w:abstractNumId w:val="13"/>
  </w:num>
  <w:num w:numId="18" w16cid:durableId="774248678">
    <w:abstractNumId w:val="33"/>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8"/>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30"/>
  </w:num>
  <w:num w:numId="30" w16cid:durableId="1159149538">
    <w:abstractNumId w:val="32"/>
  </w:num>
  <w:num w:numId="31" w16cid:durableId="1020543685">
    <w:abstractNumId w:val="19"/>
  </w:num>
  <w:num w:numId="32" w16cid:durableId="690575195">
    <w:abstractNumId w:val="37"/>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581068574">
    <w:abstractNumId w:val="14"/>
  </w:num>
  <w:num w:numId="40" w16cid:durableId="531266626">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40CE"/>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E3C71"/>
    <w:rsid w:val="000E784F"/>
    <w:rsid w:val="000F0FF0"/>
    <w:rsid w:val="000F2C1A"/>
    <w:rsid w:val="000F449F"/>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5FFC"/>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A27"/>
    <w:rsid w:val="00212E30"/>
    <w:rsid w:val="002169DF"/>
    <w:rsid w:val="00224655"/>
    <w:rsid w:val="00232592"/>
    <w:rsid w:val="002353AA"/>
    <w:rsid w:val="0023680C"/>
    <w:rsid w:val="00236E6E"/>
    <w:rsid w:val="002371B4"/>
    <w:rsid w:val="0023732F"/>
    <w:rsid w:val="00240E45"/>
    <w:rsid w:val="002423C0"/>
    <w:rsid w:val="00244C41"/>
    <w:rsid w:val="00246FEB"/>
    <w:rsid w:val="002534DA"/>
    <w:rsid w:val="00262C0C"/>
    <w:rsid w:val="00270658"/>
    <w:rsid w:val="0027286D"/>
    <w:rsid w:val="00274AD2"/>
    <w:rsid w:val="002767DA"/>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34FF"/>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1D80"/>
    <w:rsid w:val="003854E5"/>
    <w:rsid w:val="0038629B"/>
    <w:rsid w:val="00386F64"/>
    <w:rsid w:val="00387280"/>
    <w:rsid w:val="003900AE"/>
    <w:rsid w:val="003A016C"/>
    <w:rsid w:val="003A279F"/>
    <w:rsid w:val="003A637F"/>
    <w:rsid w:val="003A7793"/>
    <w:rsid w:val="003C0F28"/>
    <w:rsid w:val="003C47CA"/>
    <w:rsid w:val="003C62B5"/>
    <w:rsid w:val="003C70A6"/>
    <w:rsid w:val="003D00AC"/>
    <w:rsid w:val="003D1EDA"/>
    <w:rsid w:val="003D364B"/>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95F25"/>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4ADC"/>
    <w:rsid w:val="007060E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D6A87"/>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7B86"/>
    <w:rsid w:val="00867F93"/>
    <w:rsid w:val="0087415E"/>
    <w:rsid w:val="00877729"/>
    <w:rsid w:val="00880EC3"/>
    <w:rsid w:val="00885992"/>
    <w:rsid w:val="00885AD2"/>
    <w:rsid w:val="00886DE7"/>
    <w:rsid w:val="0089170E"/>
    <w:rsid w:val="0089498D"/>
    <w:rsid w:val="00896C41"/>
    <w:rsid w:val="00896DA7"/>
    <w:rsid w:val="008A00BC"/>
    <w:rsid w:val="008A0857"/>
    <w:rsid w:val="008A4085"/>
    <w:rsid w:val="008A473D"/>
    <w:rsid w:val="008A57D4"/>
    <w:rsid w:val="008B0E01"/>
    <w:rsid w:val="008B3C4A"/>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3791C"/>
    <w:rsid w:val="00943208"/>
    <w:rsid w:val="009432CE"/>
    <w:rsid w:val="00951D8F"/>
    <w:rsid w:val="00955747"/>
    <w:rsid w:val="0095650D"/>
    <w:rsid w:val="00956FEF"/>
    <w:rsid w:val="009602F5"/>
    <w:rsid w:val="00962966"/>
    <w:rsid w:val="00970E9E"/>
    <w:rsid w:val="00974015"/>
    <w:rsid w:val="00975A96"/>
    <w:rsid w:val="00975AC0"/>
    <w:rsid w:val="009770E3"/>
    <w:rsid w:val="00977B86"/>
    <w:rsid w:val="00977CD5"/>
    <w:rsid w:val="00980405"/>
    <w:rsid w:val="00981B17"/>
    <w:rsid w:val="0099436B"/>
    <w:rsid w:val="00995C81"/>
    <w:rsid w:val="00996AB9"/>
    <w:rsid w:val="009A4A0F"/>
    <w:rsid w:val="009B0F8E"/>
    <w:rsid w:val="009B3AEE"/>
    <w:rsid w:val="009D33DE"/>
    <w:rsid w:val="009D7359"/>
    <w:rsid w:val="009E2DDC"/>
    <w:rsid w:val="009E36DA"/>
    <w:rsid w:val="009E70DC"/>
    <w:rsid w:val="009E746E"/>
    <w:rsid w:val="009F0C57"/>
    <w:rsid w:val="009F1BDB"/>
    <w:rsid w:val="009F464C"/>
    <w:rsid w:val="009F46FA"/>
    <w:rsid w:val="009F6916"/>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4BF3"/>
    <w:rsid w:val="00A45421"/>
    <w:rsid w:val="00A46FE2"/>
    <w:rsid w:val="00A47F1B"/>
    <w:rsid w:val="00A56956"/>
    <w:rsid w:val="00A56CEF"/>
    <w:rsid w:val="00A67231"/>
    <w:rsid w:val="00A73C9D"/>
    <w:rsid w:val="00A741E9"/>
    <w:rsid w:val="00A82A11"/>
    <w:rsid w:val="00A90B8D"/>
    <w:rsid w:val="00A942B9"/>
    <w:rsid w:val="00A95483"/>
    <w:rsid w:val="00AA2DCB"/>
    <w:rsid w:val="00AA315A"/>
    <w:rsid w:val="00AA47B2"/>
    <w:rsid w:val="00AA4BA2"/>
    <w:rsid w:val="00AA4C36"/>
    <w:rsid w:val="00AB0527"/>
    <w:rsid w:val="00AB2CCC"/>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2553"/>
    <w:rsid w:val="00B25518"/>
    <w:rsid w:val="00B31A40"/>
    <w:rsid w:val="00B36A0F"/>
    <w:rsid w:val="00B370AA"/>
    <w:rsid w:val="00B40F30"/>
    <w:rsid w:val="00B40FD7"/>
    <w:rsid w:val="00B42D5A"/>
    <w:rsid w:val="00B47B35"/>
    <w:rsid w:val="00B50CC2"/>
    <w:rsid w:val="00B521B4"/>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3DBE"/>
    <w:rsid w:val="00BE1ADD"/>
    <w:rsid w:val="00BE5BA2"/>
    <w:rsid w:val="00BF4936"/>
    <w:rsid w:val="00BF72F3"/>
    <w:rsid w:val="00C14454"/>
    <w:rsid w:val="00C168CC"/>
    <w:rsid w:val="00C2049E"/>
    <w:rsid w:val="00C22590"/>
    <w:rsid w:val="00C22625"/>
    <w:rsid w:val="00C232D4"/>
    <w:rsid w:val="00C2497C"/>
    <w:rsid w:val="00C26113"/>
    <w:rsid w:val="00C26A0C"/>
    <w:rsid w:val="00C3043F"/>
    <w:rsid w:val="00C41FFD"/>
    <w:rsid w:val="00C57DF0"/>
    <w:rsid w:val="00C73826"/>
    <w:rsid w:val="00C73EE9"/>
    <w:rsid w:val="00C767A7"/>
    <w:rsid w:val="00C82524"/>
    <w:rsid w:val="00C8322A"/>
    <w:rsid w:val="00C86E61"/>
    <w:rsid w:val="00C92F4B"/>
    <w:rsid w:val="00C93FDE"/>
    <w:rsid w:val="00C95D73"/>
    <w:rsid w:val="00C95F93"/>
    <w:rsid w:val="00CB12F8"/>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2398E"/>
    <w:rsid w:val="00D40290"/>
    <w:rsid w:val="00D43E57"/>
    <w:rsid w:val="00D44CF5"/>
    <w:rsid w:val="00D556D1"/>
    <w:rsid w:val="00D5621B"/>
    <w:rsid w:val="00D56E5E"/>
    <w:rsid w:val="00D64A38"/>
    <w:rsid w:val="00D655C4"/>
    <w:rsid w:val="00D71835"/>
    <w:rsid w:val="00D7245D"/>
    <w:rsid w:val="00D75E5B"/>
    <w:rsid w:val="00D8047A"/>
    <w:rsid w:val="00D812F9"/>
    <w:rsid w:val="00D824B2"/>
    <w:rsid w:val="00D933C0"/>
    <w:rsid w:val="00D936BD"/>
    <w:rsid w:val="00D95938"/>
    <w:rsid w:val="00D95D67"/>
    <w:rsid w:val="00DA18C9"/>
    <w:rsid w:val="00DA4AF9"/>
    <w:rsid w:val="00DA719F"/>
    <w:rsid w:val="00DA7394"/>
    <w:rsid w:val="00DB36F0"/>
    <w:rsid w:val="00DB5AF4"/>
    <w:rsid w:val="00DB6AC1"/>
    <w:rsid w:val="00DC13B3"/>
    <w:rsid w:val="00DD2EF5"/>
    <w:rsid w:val="00DD5416"/>
    <w:rsid w:val="00DE103C"/>
    <w:rsid w:val="00DE7179"/>
    <w:rsid w:val="00DF797B"/>
    <w:rsid w:val="00E00123"/>
    <w:rsid w:val="00E05402"/>
    <w:rsid w:val="00E12251"/>
    <w:rsid w:val="00E150E5"/>
    <w:rsid w:val="00E15BE7"/>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6DD"/>
    <w:rsid w:val="00EA2DB2"/>
    <w:rsid w:val="00EA3E7E"/>
    <w:rsid w:val="00EB1FC0"/>
    <w:rsid w:val="00EB4D41"/>
    <w:rsid w:val="00EB7577"/>
    <w:rsid w:val="00EB762D"/>
    <w:rsid w:val="00EC1150"/>
    <w:rsid w:val="00ED27B4"/>
    <w:rsid w:val="00ED2AD0"/>
    <w:rsid w:val="00ED56A3"/>
    <w:rsid w:val="00ED586E"/>
    <w:rsid w:val="00ED7127"/>
    <w:rsid w:val="00EE5B2E"/>
    <w:rsid w:val="00EF27BC"/>
    <w:rsid w:val="00EF3E54"/>
    <w:rsid w:val="00EF6E4A"/>
    <w:rsid w:val="00F01AD4"/>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49B4"/>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5B3C"/>
    <w:rsid w:val="00FA62E5"/>
    <w:rsid w:val="00FA7DA4"/>
    <w:rsid w:val="00FB1179"/>
    <w:rsid w:val="00FB1D01"/>
    <w:rsid w:val="00FB3C7C"/>
    <w:rsid w:val="00FB49BF"/>
    <w:rsid w:val="00FB56E0"/>
    <w:rsid w:val="00FB5EC6"/>
    <w:rsid w:val="00FC05A4"/>
    <w:rsid w:val="00FD0AD4"/>
    <w:rsid w:val="00FE042F"/>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character" w:styleId="Strong">
    <w:name w:val="Strong"/>
    <w:basedOn w:val="DefaultParagraphFont"/>
    <w:uiPriority w:val="22"/>
    <w:qFormat/>
    <w:rsid w:val="00EA3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313">
      <w:bodyDiv w:val="1"/>
      <w:marLeft w:val="0"/>
      <w:marRight w:val="0"/>
      <w:marTop w:val="0"/>
      <w:marBottom w:val="0"/>
      <w:divBdr>
        <w:top w:val="none" w:sz="0" w:space="0" w:color="auto"/>
        <w:left w:val="none" w:sz="0" w:space="0" w:color="auto"/>
        <w:bottom w:val="none" w:sz="0" w:space="0" w:color="auto"/>
        <w:right w:val="none" w:sz="0" w:space="0" w:color="auto"/>
      </w:divBdr>
      <w:divsChild>
        <w:div w:id="587422379">
          <w:marLeft w:val="0"/>
          <w:marRight w:val="0"/>
          <w:marTop w:val="0"/>
          <w:marBottom w:val="0"/>
          <w:divBdr>
            <w:top w:val="none" w:sz="0" w:space="0" w:color="auto"/>
            <w:left w:val="none" w:sz="0" w:space="0" w:color="auto"/>
            <w:bottom w:val="none" w:sz="0" w:space="0" w:color="auto"/>
            <w:right w:val="none" w:sz="0" w:space="0" w:color="auto"/>
          </w:divBdr>
        </w:div>
      </w:divsChild>
    </w:div>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333221511">
      <w:bodyDiv w:val="1"/>
      <w:marLeft w:val="0"/>
      <w:marRight w:val="0"/>
      <w:marTop w:val="0"/>
      <w:marBottom w:val="0"/>
      <w:divBdr>
        <w:top w:val="none" w:sz="0" w:space="0" w:color="auto"/>
        <w:left w:val="none" w:sz="0" w:space="0" w:color="auto"/>
        <w:bottom w:val="none" w:sz="0" w:space="0" w:color="auto"/>
        <w:right w:val="none" w:sz="0" w:space="0" w:color="auto"/>
      </w:divBdr>
      <w:divsChild>
        <w:div w:id="504134783">
          <w:marLeft w:val="0"/>
          <w:marRight w:val="0"/>
          <w:marTop w:val="0"/>
          <w:marBottom w:val="0"/>
          <w:divBdr>
            <w:top w:val="none" w:sz="0" w:space="0" w:color="auto"/>
            <w:left w:val="none" w:sz="0" w:space="0" w:color="auto"/>
            <w:bottom w:val="none" w:sz="0" w:space="0" w:color="auto"/>
            <w:right w:val="none" w:sz="0" w:space="0" w:color="auto"/>
          </w:divBdr>
        </w:div>
      </w:divsChild>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722947184">
      <w:bodyDiv w:val="1"/>
      <w:marLeft w:val="0"/>
      <w:marRight w:val="0"/>
      <w:marTop w:val="0"/>
      <w:marBottom w:val="0"/>
      <w:divBdr>
        <w:top w:val="none" w:sz="0" w:space="0" w:color="auto"/>
        <w:left w:val="none" w:sz="0" w:space="0" w:color="auto"/>
        <w:bottom w:val="none" w:sz="0" w:space="0" w:color="auto"/>
        <w:right w:val="none" w:sz="0" w:space="0" w:color="auto"/>
      </w:divBdr>
      <w:divsChild>
        <w:div w:id="1971933369">
          <w:marLeft w:val="0"/>
          <w:marRight w:val="0"/>
          <w:marTop w:val="0"/>
          <w:marBottom w:val="0"/>
          <w:divBdr>
            <w:top w:val="none" w:sz="0" w:space="0" w:color="auto"/>
            <w:left w:val="none" w:sz="0" w:space="0" w:color="auto"/>
            <w:bottom w:val="none" w:sz="0" w:space="0" w:color="auto"/>
            <w:right w:val="none" w:sz="0" w:space="0" w:color="auto"/>
          </w:divBdr>
        </w:div>
      </w:divsChild>
    </w:div>
    <w:div w:id="1760902379">
      <w:bodyDiv w:val="1"/>
      <w:marLeft w:val="0"/>
      <w:marRight w:val="0"/>
      <w:marTop w:val="0"/>
      <w:marBottom w:val="0"/>
      <w:divBdr>
        <w:top w:val="none" w:sz="0" w:space="0" w:color="auto"/>
        <w:left w:val="none" w:sz="0" w:space="0" w:color="auto"/>
        <w:bottom w:val="none" w:sz="0" w:space="0" w:color="auto"/>
        <w:right w:val="none" w:sz="0" w:space="0" w:color="auto"/>
      </w:divBdr>
      <w:divsChild>
        <w:div w:id="163478289">
          <w:marLeft w:val="0"/>
          <w:marRight w:val="0"/>
          <w:marTop w:val="0"/>
          <w:marBottom w:val="0"/>
          <w:divBdr>
            <w:top w:val="none" w:sz="0" w:space="0" w:color="auto"/>
            <w:left w:val="none" w:sz="0" w:space="0" w:color="auto"/>
            <w:bottom w:val="none" w:sz="0" w:space="0" w:color="auto"/>
            <w:right w:val="none" w:sz="0" w:space="0" w:color="auto"/>
          </w:divBdr>
        </w:div>
      </w:divsChild>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306188">
      <w:bodyDiv w:val="1"/>
      <w:marLeft w:val="0"/>
      <w:marRight w:val="0"/>
      <w:marTop w:val="0"/>
      <w:marBottom w:val="0"/>
      <w:divBdr>
        <w:top w:val="none" w:sz="0" w:space="0" w:color="auto"/>
        <w:left w:val="none" w:sz="0" w:space="0" w:color="auto"/>
        <w:bottom w:val="none" w:sz="0" w:space="0" w:color="auto"/>
        <w:right w:val="none" w:sz="0" w:space="0" w:color="auto"/>
      </w:divBdr>
      <w:divsChild>
        <w:div w:id="158859897">
          <w:marLeft w:val="0"/>
          <w:marRight w:val="0"/>
          <w:marTop w:val="0"/>
          <w:marBottom w:val="0"/>
          <w:divBdr>
            <w:top w:val="none" w:sz="0" w:space="0" w:color="auto"/>
            <w:left w:val="none" w:sz="0" w:space="0" w:color="auto"/>
            <w:bottom w:val="none" w:sz="0" w:space="0" w:color="auto"/>
            <w:right w:val="none" w:sz="0" w:space="0" w:color="auto"/>
          </w:divBdr>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a6631f5c-bf8d-4407-b9c7-81d6f4a2b4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0DE4A2FF432488E7C9FA0F55238DE" ma:contentTypeVersion="13" ma:contentTypeDescription="Create a new document." ma:contentTypeScope="" ma:versionID="dfc8172313d1b3b273758df6c2dafa57">
  <xsd:schema xmlns:xsd="http://www.w3.org/2001/XMLSchema" xmlns:xs="http://www.w3.org/2001/XMLSchema" xmlns:p="http://schemas.microsoft.com/office/2006/metadata/properties" xmlns:ns2="a6631f5c-bf8d-4407-b9c7-81d6f4a2b468" xmlns:ns3="5d2d2490-61cb-48b8-8ed2-08ff3b9755c8" targetNamespace="http://schemas.microsoft.com/office/2006/metadata/properties" ma:root="true" ma:fieldsID="a686cb65860dc533254e9dbfed675654" ns2:_="" ns3:_="">
    <xsd:import namespace="a6631f5c-bf8d-4407-b9c7-81d6f4a2b468"/>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31f5c-bf8d-4407-b9c7-81d6f4a2b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7f6d36-9981-409c-bff6-21fac260cb67}"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2d2490-61cb-48b8-8ed2-08ff3b9755c8"/>
    <ds:schemaRef ds:uri="a6631f5c-bf8d-4407-b9c7-81d6f4a2b468"/>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11475260-BABD-4723-A82A-8C23F0722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31f5c-bf8d-4407-b9c7-81d6f4a2b468"/>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7969</Characters>
  <Application>Microsoft Office Word</Application>
  <DocSecurity>0</DocSecurity>
  <Lines>177</Lines>
  <Paragraphs>62</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2026-01-12T16:09:00Z</dcterms:created>
  <dcterms:modified xsi:type="dcterms:W3CDTF">2026-01-12T16:09:00Z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0x0101005EC0DE4A2FF432488E7C9FA0F55238DE</vt:lpwstr>
  </property>
  <property fmtid="{D5CDD505-2E9C-101B-9397-08002B2CF9AE}" pid="3" name="MediaServiceImageTags">
    <vt:lpwstr/>
  </property>
</Properties>
</file>