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67B49125"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7024B5">
              <w:rPr>
                <w:rFonts w:ascii="Lexend" w:hAnsi="Lexend" w:cstheme="minorHAnsi"/>
                <w:b/>
                <w:color w:val="1739E5"/>
                <w:szCs w:val="24"/>
              </w:rPr>
              <w:t>e</w:t>
            </w:r>
          </w:p>
          <w:p w14:paraId="7D188952" w14:textId="10D699DF" w:rsidR="00B70B86" w:rsidRPr="001B7D32" w:rsidRDefault="001B7D32" w:rsidP="005840E8">
            <w:pPr>
              <w:rPr>
                <w:rFonts w:ascii="Lexend" w:hAnsi="Lexend" w:cstheme="minorHAnsi"/>
                <w:bCs/>
                <w:color w:val="1739E5"/>
                <w:sz w:val="22"/>
                <w:szCs w:val="22"/>
              </w:rPr>
            </w:pPr>
            <w:r w:rsidRPr="001B7D32">
              <w:rPr>
                <w:rFonts w:ascii="Lexend" w:hAnsi="Lexend" w:cstheme="minorHAnsi"/>
                <w:bCs/>
                <w:color w:val="000000" w:themeColor="text1"/>
                <w:sz w:val="22"/>
                <w:szCs w:val="22"/>
              </w:rPr>
              <w:t>Actuary (Trainee)</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2FB41F61" w:rsidR="00D81767" w:rsidRPr="008A56D8" w:rsidRDefault="001B7D32" w:rsidP="00D81767">
            <w:pPr>
              <w:rPr>
                <w:rFonts w:ascii="Lexend" w:hAnsi="Lexend"/>
                <w:bCs/>
                <w:sz w:val="22"/>
                <w:szCs w:val="22"/>
              </w:rPr>
            </w:pPr>
            <w:r>
              <w:rPr>
                <w:rFonts w:ascii="Lexend" w:hAnsi="Lexend"/>
                <w:bCs/>
                <w:sz w:val="22"/>
                <w:szCs w:val="22"/>
              </w:rPr>
              <w:t>L</w:t>
            </w:r>
            <w:r w:rsidR="00BC758E">
              <w:rPr>
                <w:rFonts w:ascii="Lexend" w:hAnsi="Lexend"/>
                <w:bCs/>
                <w:sz w:val="22"/>
                <w:szCs w:val="22"/>
              </w:rPr>
              <w:t>ondon</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10CFF1B6" w14:textId="77777777" w:rsidR="00676DDA"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We are looking for an enthusiastic, resourceful and proactive trainee Actuary to join MO’s Insurance Risk team at an exciting time in the development of MO’s insurance arrangements.</w:t>
            </w:r>
          </w:p>
          <w:p w14:paraId="14788446" w14:textId="77777777" w:rsidR="00676DDA" w:rsidRPr="00676DDA" w:rsidRDefault="00676DDA" w:rsidP="00676DDA">
            <w:pPr>
              <w:rPr>
                <w:rFonts w:ascii="Lexend" w:hAnsi="Lexend"/>
                <w:bCs/>
                <w:color w:val="000000" w:themeColor="text1"/>
                <w:sz w:val="22"/>
                <w:szCs w:val="22"/>
              </w:rPr>
            </w:pPr>
          </w:p>
          <w:p w14:paraId="6E772AE6" w14:textId="77777777" w:rsidR="00676DDA"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This role reports to the Actuarial Lead, working alongside the Insurance Risk Analyst and our actuarial Consultant.</w:t>
            </w:r>
          </w:p>
          <w:p w14:paraId="6CB59F9B" w14:textId="77777777" w:rsidR="00676DDA" w:rsidRPr="00676DDA" w:rsidRDefault="00676DDA" w:rsidP="00676DDA">
            <w:pPr>
              <w:rPr>
                <w:rFonts w:ascii="Lexend" w:hAnsi="Lexend"/>
                <w:bCs/>
                <w:color w:val="000000" w:themeColor="text1"/>
                <w:sz w:val="22"/>
                <w:szCs w:val="22"/>
              </w:rPr>
            </w:pPr>
          </w:p>
          <w:p w14:paraId="0EB8E670" w14:textId="77777777" w:rsidR="00676DDA"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The trainee Actuary will become one of MO’s in-house actuarial experts, carrying out all actuarial tasks in support of MO’s insurance risk model</w:t>
            </w:r>
          </w:p>
          <w:p w14:paraId="666D042B" w14:textId="39654E3C" w:rsidR="00676DDA" w:rsidRP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 xml:space="preserve">Pricing in support of our relationship with our insurance partner </w:t>
            </w:r>
          </w:p>
          <w:p w14:paraId="01C11EBD" w14:textId="60103EA0" w:rsid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Reserving in support of MO Reinsurance Limited</w:t>
            </w:r>
          </w:p>
          <w:p w14:paraId="58412C69" w14:textId="6ED78562" w:rsid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 xml:space="preserve">Providing the insurance </w:t>
            </w:r>
            <w:r w:rsidR="0030701D">
              <w:rPr>
                <w:rFonts w:ascii="Lexend" w:hAnsi="Lexend"/>
                <w:bCs/>
                <w:color w:val="000000" w:themeColor="text1"/>
                <w:sz w:val="22"/>
                <w:szCs w:val="22"/>
              </w:rPr>
              <w:t xml:space="preserve">component </w:t>
            </w:r>
            <w:r w:rsidRPr="00676DDA">
              <w:rPr>
                <w:rFonts w:ascii="Lexend" w:hAnsi="Lexend"/>
                <w:bCs/>
                <w:color w:val="000000" w:themeColor="text1"/>
                <w:sz w:val="22"/>
                <w:szCs w:val="22"/>
              </w:rPr>
              <w:t>inputs to MO Group’s economic capital model</w:t>
            </w:r>
          </w:p>
          <w:p w14:paraId="72BF7DAD" w14:textId="4585E275" w:rsid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 xml:space="preserve">Make-model </w:t>
            </w:r>
            <w:r w:rsidR="00B95212">
              <w:rPr>
                <w:rFonts w:ascii="Lexend" w:hAnsi="Lexend"/>
                <w:bCs/>
                <w:color w:val="000000" w:themeColor="text1"/>
                <w:sz w:val="22"/>
                <w:szCs w:val="22"/>
              </w:rPr>
              <w:t xml:space="preserve">motor </w:t>
            </w:r>
            <w:r w:rsidRPr="00676DDA">
              <w:rPr>
                <w:rFonts w:ascii="Lexend" w:hAnsi="Lexend"/>
                <w:bCs/>
                <w:color w:val="000000" w:themeColor="text1"/>
                <w:sz w:val="22"/>
                <w:szCs w:val="22"/>
              </w:rPr>
              <w:t>pricing for input of insurance costs into MO’s lease prices</w:t>
            </w:r>
          </w:p>
          <w:p w14:paraId="56701356" w14:textId="4850109D" w:rsidR="00676DDA" w:rsidRP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 xml:space="preserve">Working with our broker on the analysis </w:t>
            </w:r>
            <w:r w:rsidR="00B95212">
              <w:rPr>
                <w:rFonts w:ascii="Lexend" w:hAnsi="Lexend"/>
                <w:bCs/>
                <w:color w:val="000000" w:themeColor="text1"/>
                <w:sz w:val="22"/>
                <w:szCs w:val="22"/>
              </w:rPr>
              <w:t xml:space="preserve">supporting </w:t>
            </w:r>
            <w:r w:rsidRPr="00676DDA">
              <w:rPr>
                <w:rFonts w:ascii="Lexend" w:hAnsi="Lexend"/>
                <w:bCs/>
                <w:color w:val="000000" w:themeColor="text1"/>
                <w:sz w:val="22"/>
                <w:szCs w:val="22"/>
              </w:rPr>
              <w:t>our reinsurance programmes</w:t>
            </w:r>
          </w:p>
          <w:p w14:paraId="24A2B744" w14:textId="77777777" w:rsidR="00676DDA" w:rsidRPr="00676DDA" w:rsidRDefault="00676DDA" w:rsidP="00676DDA">
            <w:pPr>
              <w:rPr>
                <w:rFonts w:ascii="Lexend" w:hAnsi="Lexend"/>
                <w:bCs/>
                <w:color w:val="000000" w:themeColor="text1"/>
                <w:sz w:val="22"/>
                <w:szCs w:val="22"/>
              </w:rPr>
            </w:pPr>
          </w:p>
          <w:p w14:paraId="115D6A32" w14:textId="77777777" w:rsidR="00676DDA"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The trainee Actuary will support actuarial colleagues and consultants, carrying out analysis in-house wherever possible, and co-ordinating development of the actuarial approach applied.</w:t>
            </w:r>
          </w:p>
          <w:p w14:paraId="47BFC65F" w14:textId="77777777" w:rsidR="00676DDA" w:rsidRPr="00676DDA" w:rsidRDefault="00676DDA" w:rsidP="00676DDA">
            <w:pPr>
              <w:rPr>
                <w:rFonts w:ascii="Lexend" w:hAnsi="Lexend"/>
                <w:bCs/>
                <w:color w:val="000000" w:themeColor="text1"/>
                <w:sz w:val="22"/>
                <w:szCs w:val="22"/>
              </w:rPr>
            </w:pPr>
          </w:p>
          <w:p w14:paraId="232A0BEC" w14:textId="77777777" w:rsidR="00676DDA"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The role holder will also interact extensively with the third parties who support MO’s insurance risk model, including our insurance partner, our reinsurance broker, our appointed peer review partner and auditors, and the MORL managers.</w:t>
            </w:r>
          </w:p>
          <w:p w14:paraId="1F18154F" w14:textId="77777777" w:rsidR="00676DDA" w:rsidRPr="00676DDA" w:rsidRDefault="00676DDA" w:rsidP="00676DDA">
            <w:pPr>
              <w:rPr>
                <w:rFonts w:ascii="Lexend" w:hAnsi="Lexend"/>
                <w:bCs/>
                <w:color w:val="000000" w:themeColor="text1"/>
                <w:sz w:val="22"/>
                <w:szCs w:val="22"/>
              </w:rPr>
            </w:pPr>
          </w:p>
          <w:p w14:paraId="79F6307E" w14:textId="77777777" w:rsidR="00676DDA"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Upon completion of probation period and satisfactory progress in the role, MO will support the successful applicant with their actuarial studies, offering study days and payment of relevant fees as the trainee Actuary works through IFOA exams.</w:t>
            </w:r>
          </w:p>
          <w:p w14:paraId="74AF45D6" w14:textId="77777777" w:rsidR="00676DDA" w:rsidRPr="00676DDA" w:rsidRDefault="00676DDA" w:rsidP="00676DDA">
            <w:pPr>
              <w:rPr>
                <w:rFonts w:ascii="Lexend" w:hAnsi="Lexend"/>
                <w:bCs/>
                <w:color w:val="000000" w:themeColor="text1"/>
                <w:sz w:val="22"/>
                <w:szCs w:val="22"/>
              </w:rPr>
            </w:pPr>
          </w:p>
          <w:p w14:paraId="03170A86" w14:textId="77777777" w:rsidR="00676DDA"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This opportunity comes at an exciting time for the successful applicant as MO is building our relationship with our new insurance partner, DLG.  We are working with new MI tools, applying new actuarial techniques, and developing our understanding of our changing operational environment and risk profile.  As insurance expertise within MO grows, there will be numerous new opportunities for the Insurance Risk team to demonstrate expertise and help shape MO’s future development of our insurance offering.</w:t>
            </w:r>
          </w:p>
          <w:p w14:paraId="73829D2A" w14:textId="77777777" w:rsidR="00676DDA" w:rsidRDefault="00676DDA" w:rsidP="008D6B44">
            <w:pPr>
              <w:rPr>
                <w:rFonts w:ascii="Lexend" w:hAnsi="Lexend"/>
                <w:bCs/>
                <w:color w:val="808080" w:themeColor="background1" w:themeShade="80"/>
                <w:sz w:val="22"/>
                <w:szCs w:val="22"/>
              </w:rPr>
            </w:pPr>
          </w:p>
          <w:p w14:paraId="3FF51283" w14:textId="2D5B1A58" w:rsidR="00E15278" w:rsidRPr="00005A45" w:rsidRDefault="00E15278" w:rsidP="00676DDA">
            <w:pPr>
              <w:rPr>
                <w:rFonts w:ascii="Lexend" w:hAnsi="Lexend"/>
                <w:bCs/>
                <w:color w:val="808080" w:themeColor="background1" w:themeShade="80"/>
                <w:sz w:val="22"/>
                <w:szCs w:val="22"/>
              </w:rPr>
            </w:pPr>
          </w:p>
        </w:tc>
      </w:tr>
    </w:tbl>
    <w:p w14:paraId="52E7EF8D" w14:textId="77777777" w:rsidR="002810DD" w:rsidRDefault="002810D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005A45" w14:paraId="167886A9" w14:textId="77777777" w:rsidTr="0023680C">
        <w:tc>
          <w:tcPr>
            <w:tcW w:w="10054" w:type="dxa"/>
          </w:tcPr>
          <w:p w14:paraId="0D4E77FD" w14:textId="0A35F440"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0A97B10D" w14:textId="77777777" w:rsidR="00676DDA"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This is an opportunity for someone pursuing the career path of an Actuary to make a mark in a small risk &amp; actuarial team which manages a large and unique motor book.  We are looking for someone who can:</w:t>
            </w:r>
          </w:p>
          <w:p w14:paraId="786FF239" w14:textId="77777777" w:rsidR="00676DDA" w:rsidRPr="00676DDA" w:rsidRDefault="00676DDA" w:rsidP="00676DDA">
            <w:pPr>
              <w:rPr>
                <w:rFonts w:ascii="Lexend" w:hAnsi="Lexend"/>
                <w:bCs/>
                <w:color w:val="000000" w:themeColor="text1"/>
                <w:sz w:val="22"/>
                <w:szCs w:val="22"/>
              </w:rPr>
            </w:pPr>
          </w:p>
          <w:p w14:paraId="79AC5EE1" w14:textId="2D719464" w:rsidR="00676DDA" w:rsidRP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Demonstrate strong organisation skills</w:t>
            </w:r>
          </w:p>
          <w:p w14:paraId="64C0C669" w14:textId="77777777" w:rsidR="00676DDA" w:rsidRPr="00676DDA" w:rsidRDefault="00676DDA" w:rsidP="00676DDA">
            <w:pPr>
              <w:ind w:left="720"/>
              <w:rPr>
                <w:rFonts w:ascii="Lexend" w:hAnsi="Lexend"/>
                <w:bCs/>
                <w:color w:val="000000" w:themeColor="text1"/>
                <w:sz w:val="22"/>
                <w:szCs w:val="22"/>
              </w:rPr>
            </w:pPr>
            <w:r w:rsidRPr="00676DDA">
              <w:rPr>
                <w:rFonts w:ascii="Lexend" w:hAnsi="Lexend"/>
                <w:bCs/>
                <w:color w:val="000000" w:themeColor="text1"/>
                <w:sz w:val="22"/>
                <w:szCs w:val="22"/>
              </w:rPr>
              <w:t>o</w:t>
            </w:r>
            <w:r w:rsidRPr="00676DDA">
              <w:rPr>
                <w:rFonts w:ascii="Lexend" w:hAnsi="Lexend"/>
                <w:bCs/>
                <w:color w:val="000000" w:themeColor="text1"/>
                <w:sz w:val="22"/>
                <w:szCs w:val="22"/>
              </w:rPr>
              <w:tab/>
              <w:t>Self-starter, able to prioritise and manage workload</w:t>
            </w:r>
          </w:p>
          <w:p w14:paraId="5288A0E8" w14:textId="77777777" w:rsidR="00676DDA" w:rsidRPr="00676DDA" w:rsidRDefault="00676DDA" w:rsidP="00676DDA">
            <w:pPr>
              <w:ind w:left="720"/>
              <w:rPr>
                <w:rFonts w:ascii="Lexend" w:hAnsi="Lexend"/>
                <w:bCs/>
                <w:color w:val="000000" w:themeColor="text1"/>
                <w:sz w:val="22"/>
                <w:szCs w:val="22"/>
              </w:rPr>
            </w:pPr>
            <w:r w:rsidRPr="00676DDA">
              <w:rPr>
                <w:rFonts w:ascii="Lexend" w:hAnsi="Lexend"/>
                <w:bCs/>
                <w:color w:val="000000" w:themeColor="text1"/>
                <w:sz w:val="22"/>
                <w:szCs w:val="22"/>
              </w:rPr>
              <w:t>o</w:t>
            </w:r>
            <w:r w:rsidRPr="00676DDA">
              <w:rPr>
                <w:rFonts w:ascii="Lexend" w:hAnsi="Lexend"/>
                <w:bCs/>
                <w:color w:val="000000" w:themeColor="text1"/>
                <w:sz w:val="22"/>
                <w:szCs w:val="22"/>
              </w:rPr>
              <w:tab/>
              <w:t>Disciplined, structured approach &amp; methodology</w:t>
            </w:r>
          </w:p>
          <w:p w14:paraId="5E91BA4C" w14:textId="77777777" w:rsidR="00676DDA" w:rsidRPr="00676DDA" w:rsidRDefault="00676DDA" w:rsidP="00676DDA">
            <w:pPr>
              <w:ind w:left="720"/>
              <w:rPr>
                <w:rFonts w:ascii="Lexend" w:hAnsi="Lexend"/>
                <w:bCs/>
                <w:color w:val="000000" w:themeColor="text1"/>
                <w:sz w:val="22"/>
                <w:szCs w:val="22"/>
              </w:rPr>
            </w:pPr>
            <w:r w:rsidRPr="00676DDA">
              <w:rPr>
                <w:rFonts w:ascii="Lexend" w:hAnsi="Lexend"/>
                <w:bCs/>
                <w:color w:val="000000" w:themeColor="text1"/>
                <w:sz w:val="22"/>
                <w:szCs w:val="22"/>
              </w:rPr>
              <w:t>o</w:t>
            </w:r>
            <w:r w:rsidRPr="00676DDA">
              <w:rPr>
                <w:rFonts w:ascii="Lexend" w:hAnsi="Lexend"/>
                <w:bCs/>
                <w:color w:val="000000" w:themeColor="text1"/>
                <w:sz w:val="22"/>
                <w:szCs w:val="22"/>
              </w:rPr>
              <w:tab/>
              <w:t>Enjoys solving problems and delivering smart solutions</w:t>
            </w:r>
          </w:p>
          <w:p w14:paraId="17A4E388" w14:textId="77777777" w:rsidR="00676DDA" w:rsidRPr="00676DDA" w:rsidRDefault="00676DDA" w:rsidP="00676DDA">
            <w:pPr>
              <w:ind w:left="720"/>
              <w:rPr>
                <w:rFonts w:ascii="Lexend" w:hAnsi="Lexend"/>
                <w:bCs/>
                <w:color w:val="000000" w:themeColor="text1"/>
                <w:sz w:val="22"/>
                <w:szCs w:val="22"/>
              </w:rPr>
            </w:pPr>
            <w:r w:rsidRPr="00676DDA">
              <w:rPr>
                <w:rFonts w:ascii="Lexend" w:hAnsi="Lexend"/>
                <w:bCs/>
                <w:color w:val="000000" w:themeColor="text1"/>
                <w:sz w:val="22"/>
                <w:szCs w:val="22"/>
              </w:rPr>
              <w:t>o</w:t>
            </w:r>
            <w:r w:rsidRPr="00676DDA">
              <w:rPr>
                <w:rFonts w:ascii="Lexend" w:hAnsi="Lexend"/>
                <w:bCs/>
                <w:color w:val="000000" w:themeColor="text1"/>
                <w:sz w:val="22"/>
                <w:szCs w:val="22"/>
              </w:rPr>
              <w:tab/>
              <w:t xml:space="preserve">Work collaboratively or independently to achieve objectives </w:t>
            </w:r>
          </w:p>
          <w:p w14:paraId="2BB99DCB" w14:textId="77777777" w:rsidR="00676DDA" w:rsidRPr="00676DDA" w:rsidRDefault="00676DDA" w:rsidP="00676DDA">
            <w:pPr>
              <w:rPr>
                <w:rFonts w:ascii="Lexend" w:hAnsi="Lexend"/>
                <w:bCs/>
                <w:color w:val="000000" w:themeColor="text1"/>
                <w:sz w:val="22"/>
                <w:szCs w:val="22"/>
              </w:rPr>
            </w:pPr>
          </w:p>
          <w:p w14:paraId="0AE72FDE" w14:textId="384D043E" w:rsidR="00676DDA" w:rsidRP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 xml:space="preserve">Communicate well in a variety of environments </w:t>
            </w:r>
          </w:p>
          <w:p w14:paraId="62241730" w14:textId="77777777" w:rsidR="00676DDA" w:rsidRPr="00676DDA" w:rsidRDefault="00676DDA" w:rsidP="00676DDA">
            <w:pPr>
              <w:ind w:left="720"/>
              <w:rPr>
                <w:rFonts w:ascii="Lexend" w:hAnsi="Lexend"/>
                <w:bCs/>
                <w:color w:val="000000" w:themeColor="text1"/>
                <w:sz w:val="22"/>
                <w:szCs w:val="22"/>
              </w:rPr>
            </w:pPr>
            <w:r w:rsidRPr="00676DDA">
              <w:rPr>
                <w:rFonts w:ascii="Lexend" w:hAnsi="Lexend"/>
                <w:bCs/>
                <w:color w:val="000000" w:themeColor="text1"/>
                <w:sz w:val="22"/>
                <w:szCs w:val="22"/>
              </w:rPr>
              <w:t>o</w:t>
            </w:r>
            <w:r w:rsidRPr="00676DDA">
              <w:rPr>
                <w:rFonts w:ascii="Lexend" w:hAnsi="Lexend"/>
                <w:bCs/>
                <w:color w:val="000000" w:themeColor="text1"/>
                <w:sz w:val="22"/>
                <w:szCs w:val="22"/>
              </w:rPr>
              <w:tab/>
              <w:t>Good written, oral, presentation and interpersonal skills</w:t>
            </w:r>
          </w:p>
          <w:p w14:paraId="1D9A677A" w14:textId="77777777" w:rsidR="00676DDA" w:rsidRPr="00676DDA" w:rsidRDefault="00676DDA" w:rsidP="00676DDA">
            <w:pPr>
              <w:ind w:left="720"/>
              <w:rPr>
                <w:rFonts w:ascii="Lexend" w:hAnsi="Lexend"/>
                <w:bCs/>
                <w:color w:val="000000" w:themeColor="text1"/>
                <w:sz w:val="22"/>
                <w:szCs w:val="22"/>
              </w:rPr>
            </w:pPr>
            <w:r w:rsidRPr="00676DDA">
              <w:rPr>
                <w:rFonts w:ascii="Lexend" w:hAnsi="Lexend"/>
                <w:bCs/>
                <w:color w:val="000000" w:themeColor="text1"/>
                <w:sz w:val="22"/>
                <w:szCs w:val="22"/>
              </w:rPr>
              <w:t>o</w:t>
            </w:r>
            <w:r w:rsidRPr="00676DDA">
              <w:rPr>
                <w:rFonts w:ascii="Lexend" w:hAnsi="Lexend"/>
                <w:bCs/>
                <w:color w:val="000000" w:themeColor="text1"/>
                <w:sz w:val="22"/>
                <w:szCs w:val="22"/>
              </w:rPr>
              <w:tab/>
              <w:t>Presents information in a confident manner</w:t>
            </w:r>
          </w:p>
          <w:p w14:paraId="47808165" w14:textId="77777777" w:rsidR="00676DDA" w:rsidRPr="00676DDA" w:rsidRDefault="00676DDA" w:rsidP="00676DDA">
            <w:pPr>
              <w:ind w:left="720"/>
              <w:rPr>
                <w:rFonts w:ascii="Lexend" w:hAnsi="Lexend"/>
                <w:bCs/>
                <w:color w:val="000000" w:themeColor="text1"/>
                <w:sz w:val="22"/>
                <w:szCs w:val="22"/>
              </w:rPr>
            </w:pPr>
            <w:r w:rsidRPr="00676DDA">
              <w:rPr>
                <w:rFonts w:ascii="Lexend" w:hAnsi="Lexend"/>
                <w:bCs/>
                <w:color w:val="000000" w:themeColor="text1"/>
                <w:sz w:val="22"/>
                <w:szCs w:val="22"/>
              </w:rPr>
              <w:t>o</w:t>
            </w:r>
            <w:r w:rsidRPr="00676DDA">
              <w:rPr>
                <w:rFonts w:ascii="Lexend" w:hAnsi="Lexend"/>
                <w:bCs/>
                <w:color w:val="000000" w:themeColor="text1"/>
                <w:sz w:val="22"/>
                <w:szCs w:val="22"/>
              </w:rPr>
              <w:tab/>
              <w:t>Enjoys communicating with people at all levels, both to technical and non-technical audiences</w:t>
            </w:r>
          </w:p>
          <w:p w14:paraId="06F10FAF" w14:textId="77777777" w:rsidR="00676DDA" w:rsidRDefault="00676DDA" w:rsidP="005840E8">
            <w:pPr>
              <w:rPr>
                <w:rFonts w:ascii="Lexend" w:hAnsi="Lexend"/>
                <w:bCs/>
                <w:color w:val="808080" w:themeColor="background1" w:themeShade="80"/>
                <w:sz w:val="22"/>
                <w:szCs w:val="22"/>
              </w:rPr>
            </w:pPr>
          </w:p>
          <w:p w14:paraId="4F6FFE38" w14:textId="35057130" w:rsidR="0023680C" w:rsidRPr="00005A45" w:rsidRDefault="0023680C" w:rsidP="00676DDA">
            <w:pPr>
              <w:rPr>
                <w:rFonts w:ascii="Lexend" w:hAnsi="Lexend"/>
                <w:bCs/>
                <w:sz w:val="22"/>
                <w:szCs w:val="22"/>
              </w:rPr>
            </w:pPr>
          </w:p>
        </w:tc>
      </w:tr>
      <w:tr w:rsidR="00005A45" w14:paraId="0FF29B93" w14:textId="77777777" w:rsidTr="0023680C">
        <w:tc>
          <w:tcPr>
            <w:tcW w:w="10054" w:type="dxa"/>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7B693CD6" w14:textId="77777777" w:rsidR="00676DDA"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A relevant numerical degree and some progress to date in the IFOA actuarial study path.  Candidates with pricing or reserving experience, and / or motor insurance experience, strongly preferred.</w:t>
            </w:r>
          </w:p>
          <w:p w14:paraId="2D79CE7C" w14:textId="77777777" w:rsidR="00676DDA" w:rsidRPr="00676DDA" w:rsidRDefault="00676DDA" w:rsidP="00676DDA">
            <w:pPr>
              <w:rPr>
                <w:rFonts w:ascii="Lexend" w:hAnsi="Lexend"/>
                <w:bCs/>
                <w:color w:val="000000" w:themeColor="text1"/>
                <w:sz w:val="22"/>
                <w:szCs w:val="22"/>
              </w:rPr>
            </w:pPr>
          </w:p>
          <w:p w14:paraId="5DDA9318" w14:textId="4AD3769A" w:rsidR="005C58E7"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Excellent PC skills including advanced Excel, and experience working with large data sets is also a strong benefit.</w:t>
            </w:r>
          </w:p>
          <w:p w14:paraId="31298D9B" w14:textId="77777777" w:rsidR="00676DDA" w:rsidRDefault="00676DDA" w:rsidP="003F4018">
            <w:pPr>
              <w:rPr>
                <w:rFonts w:ascii="Lexend" w:hAnsi="Lexend"/>
                <w:bCs/>
                <w:color w:val="808080" w:themeColor="background1" w:themeShade="80"/>
                <w:sz w:val="22"/>
                <w:szCs w:val="22"/>
              </w:rPr>
            </w:pP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14BB139A" w14:textId="77777777" w:rsidR="00676DDA" w:rsidRPr="00676DDA" w:rsidRDefault="00676DDA" w:rsidP="00676DDA">
            <w:pPr>
              <w:rPr>
                <w:rFonts w:ascii="Lexend" w:hAnsi="Lexend"/>
                <w:bCs/>
                <w:color w:val="000000" w:themeColor="text1"/>
                <w:sz w:val="22"/>
                <w:szCs w:val="22"/>
              </w:rPr>
            </w:pPr>
            <w:r w:rsidRPr="00676DDA">
              <w:rPr>
                <w:rFonts w:ascii="Lexend" w:hAnsi="Lexend"/>
                <w:bCs/>
                <w:color w:val="000000" w:themeColor="text1"/>
                <w:sz w:val="22"/>
                <w:szCs w:val="22"/>
              </w:rPr>
              <w:t>The Insurance Risk team:</w:t>
            </w:r>
          </w:p>
          <w:p w14:paraId="67EBB52A" w14:textId="1D31D3F8" w:rsidR="00676DDA" w:rsidRP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Manages the financial risk around insurance in MO</w:t>
            </w:r>
          </w:p>
          <w:p w14:paraId="5891EB44" w14:textId="74CBAF82" w:rsidR="00676DDA" w:rsidRP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Conducts actuarial pricing analysis in support of our relationship with our insurance partner</w:t>
            </w:r>
          </w:p>
          <w:p w14:paraId="70FB75D4" w14:textId="71E164A8" w:rsidR="00676DDA" w:rsidRP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Carries out quarterly actuarial reserving reviews as a key input to the financial and underwriting outlook for our captive reinsurance entity MORL</w:t>
            </w:r>
          </w:p>
          <w:p w14:paraId="79E435F5" w14:textId="64D4E118" w:rsidR="00676DDA" w:rsidRP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Supports actuarial inputs to the MO Group capital model</w:t>
            </w:r>
          </w:p>
          <w:p w14:paraId="42F6E03B" w14:textId="66CE26F0" w:rsidR="00676DDA" w:rsidRPr="00676DDA" w:rsidRDefault="00676DDA" w:rsidP="00676DDA">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Conducts analysis of the price and performance of MO’s / MORL’s reinsurance programmes</w:t>
            </w:r>
          </w:p>
          <w:p w14:paraId="13466DE5" w14:textId="74D8ACAC" w:rsidR="008B5EC7" w:rsidRPr="00676DDA" w:rsidRDefault="00676DDA" w:rsidP="00F839FD">
            <w:pPr>
              <w:pStyle w:val="ListParagraph"/>
              <w:numPr>
                <w:ilvl w:val="0"/>
                <w:numId w:val="39"/>
              </w:numPr>
              <w:rPr>
                <w:rFonts w:ascii="Lexend" w:hAnsi="Lexend"/>
                <w:bCs/>
                <w:color w:val="000000" w:themeColor="text1"/>
                <w:sz w:val="22"/>
                <w:szCs w:val="22"/>
              </w:rPr>
            </w:pPr>
            <w:r w:rsidRPr="00676DDA">
              <w:rPr>
                <w:rFonts w:ascii="Lexend" w:hAnsi="Lexend"/>
                <w:bCs/>
                <w:color w:val="000000" w:themeColor="text1"/>
                <w:sz w:val="22"/>
                <w:szCs w:val="22"/>
              </w:rPr>
              <w:t>Calculates insurance costs as an input to Motability scheme lease pricing</w:t>
            </w:r>
          </w:p>
        </w:tc>
      </w:tr>
      <w:tr w:rsidR="00005A45" w14:paraId="4CB02243" w14:textId="77777777" w:rsidTr="0023680C">
        <w:tc>
          <w:tcPr>
            <w:tcW w:w="10054" w:type="dxa"/>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tcPr>
          <w:p w14:paraId="360CB41B" w14:textId="6CB58EAD" w:rsidR="0023680C" w:rsidRPr="0000448C" w:rsidRDefault="0023680C" w:rsidP="00676DDA">
            <w:pPr>
              <w:rPr>
                <w:rFonts w:ascii="Lexend" w:hAnsi="Lexend"/>
                <w:bCs/>
                <w:color w:val="808080" w:themeColor="background1" w:themeShade="80"/>
                <w:sz w:val="22"/>
                <w:szCs w:val="22"/>
              </w:rPr>
            </w:pPr>
          </w:p>
        </w:tc>
      </w:tr>
      <w:tr w:rsidR="0000448C" w14:paraId="274886EB" w14:textId="77777777" w:rsidTr="0023680C">
        <w:tc>
          <w:tcPr>
            <w:tcW w:w="10054" w:type="dxa"/>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tcPr>
          <w:p w14:paraId="7C3F0CEA" w14:textId="3DE49121"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D94E04">
              <w:rPr>
                <w:rFonts w:ascii="Lexend" w:hAnsi="Lexend"/>
                <w:shd w:val="clear" w:color="auto" w:fill="FFFFFF"/>
              </w:rPr>
              <w:t>80</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w:t>
            </w:r>
            <w:r w:rsidRPr="006D5FD0">
              <w:rPr>
                <w:rFonts w:ascii="Lexend" w:hAnsi="Lexend"/>
              </w:rPr>
              <w:lastRenderedPageBreak/>
              <w:t>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677B9" w14:textId="77777777" w:rsidR="00C606C7" w:rsidRDefault="00C606C7">
      <w:r>
        <w:separator/>
      </w:r>
    </w:p>
  </w:endnote>
  <w:endnote w:type="continuationSeparator" w:id="0">
    <w:p w14:paraId="5EFA1CD7" w14:textId="77777777" w:rsidR="00C606C7" w:rsidRDefault="00C6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4D35" w14:textId="77777777" w:rsidR="00C606C7" w:rsidRDefault="00C606C7">
      <w:r>
        <w:separator/>
      </w:r>
    </w:p>
  </w:footnote>
  <w:footnote w:type="continuationSeparator" w:id="0">
    <w:p w14:paraId="37389821" w14:textId="77777777" w:rsidR="00C606C7" w:rsidRDefault="00C6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0FD6F04"/>
    <w:multiLevelType w:val="hybridMultilevel"/>
    <w:tmpl w:val="A258A80E"/>
    <w:lvl w:ilvl="0" w:tplc="1B8ACB66">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EA214A"/>
    <w:multiLevelType w:val="hybridMultilevel"/>
    <w:tmpl w:val="163EAD26"/>
    <w:lvl w:ilvl="0" w:tplc="6DD84F04">
      <w:numFmt w:val="bullet"/>
      <w:lvlText w:val="•"/>
      <w:lvlJc w:val="left"/>
      <w:pPr>
        <w:ind w:left="720" w:hanging="360"/>
      </w:pPr>
      <w:rPr>
        <w:rFonts w:ascii="Lexend" w:hAnsi="Lexend"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E63C2E"/>
    <w:multiLevelType w:val="hybridMultilevel"/>
    <w:tmpl w:val="D0807ECE"/>
    <w:lvl w:ilvl="0" w:tplc="6DD84F04">
      <w:numFmt w:val="bullet"/>
      <w:lvlText w:val="•"/>
      <w:lvlJc w:val="left"/>
      <w:pPr>
        <w:ind w:left="720" w:hanging="360"/>
      </w:pPr>
      <w:rPr>
        <w:rFonts w:ascii="Lexend" w:hAnsi="Lexend"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6"/>
  </w:num>
  <w:num w:numId="3" w16cid:durableId="1360857908">
    <w:abstractNumId w:val="2"/>
  </w:num>
  <w:num w:numId="4" w16cid:durableId="303660112">
    <w:abstractNumId w:val="35"/>
  </w:num>
  <w:num w:numId="5" w16cid:durableId="1104616596">
    <w:abstractNumId w:val="40"/>
  </w:num>
  <w:num w:numId="6" w16cid:durableId="1645037857">
    <w:abstractNumId w:val="13"/>
  </w:num>
  <w:num w:numId="7" w16cid:durableId="941182358">
    <w:abstractNumId w:val="3"/>
  </w:num>
  <w:num w:numId="8" w16cid:durableId="118496352">
    <w:abstractNumId w:val="8"/>
  </w:num>
  <w:num w:numId="9" w16cid:durableId="48961000">
    <w:abstractNumId w:val="37"/>
  </w:num>
  <w:num w:numId="10" w16cid:durableId="1236814170">
    <w:abstractNumId w:val="15"/>
  </w:num>
  <w:num w:numId="11" w16cid:durableId="924845669">
    <w:abstractNumId w:val="32"/>
  </w:num>
  <w:num w:numId="12" w16cid:durableId="1586959621">
    <w:abstractNumId w:val="36"/>
  </w:num>
  <w:num w:numId="13" w16cid:durableId="1973634893">
    <w:abstractNumId w:val="11"/>
  </w:num>
  <w:num w:numId="14" w16cid:durableId="1438604040">
    <w:abstractNumId w:val="23"/>
  </w:num>
  <w:num w:numId="15" w16cid:durableId="1513494444">
    <w:abstractNumId w:val="20"/>
  </w:num>
  <w:num w:numId="16" w16cid:durableId="1747654335">
    <w:abstractNumId w:val="30"/>
  </w:num>
  <w:num w:numId="17" w16cid:durableId="1169827613">
    <w:abstractNumId w:val="14"/>
  </w:num>
  <w:num w:numId="18" w16cid:durableId="774248678">
    <w:abstractNumId w:val="34"/>
  </w:num>
  <w:num w:numId="19" w16cid:durableId="575938434">
    <w:abstractNumId w:val="17"/>
  </w:num>
  <w:num w:numId="20" w16cid:durableId="79110247">
    <w:abstractNumId w:val="24"/>
  </w:num>
  <w:num w:numId="21" w16cid:durableId="914124496">
    <w:abstractNumId w:val="27"/>
  </w:num>
  <w:num w:numId="22" w16cid:durableId="263342577">
    <w:abstractNumId w:val="18"/>
  </w:num>
  <w:num w:numId="23" w16cid:durableId="1353920482">
    <w:abstractNumId w:val="4"/>
  </w:num>
  <w:num w:numId="24" w16cid:durableId="73283562">
    <w:abstractNumId w:val="39"/>
  </w:num>
  <w:num w:numId="25" w16cid:durableId="1704091098">
    <w:abstractNumId w:val="26"/>
  </w:num>
  <w:num w:numId="26" w16cid:durableId="1590042919">
    <w:abstractNumId w:val="1"/>
  </w:num>
  <w:num w:numId="27" w16cid:durableId="807894186">
    <w:abstractNumId w:val="16"/>
  </w:num>
  <w:num w:numId="28" w16cid:durableId="1574117201">
    <w:abstractNumId w:val="5"/>
  </w:num>
  <w:num w:numId="29" w16cid:durableId="449666736">
    <w:abstractNumId w:val="31"/>
  </w:num>
  <w:num w:numId="30" w16cid:durableId="1159149538">
    <w:abstractNumId w:val="33"/>
  </w:num>
  <w:num w:numId="31" w16cid:durableId="1020543685">
    <w:abstractNumId w:val="19"/>
  </w:num>
  <w:num w:numId="32" w16cid:durableId="690575195">
    <w:abstractNumId w:val="38"/>
  </w:num>
  <w:num w:numId="33" w16cid:durableId="1003585426">
    <w:abstractNumId w:val="29"/>
  </w:num>
  <w:num w:numId="34" w16cid:durableId="1446537673">
    <w:abstractNumId w:val="10"/>
  </w:num>
  <w:num w:numId="35" w16cid:durableId="200019508">
    <w:abstractNumId w:val="0"/>
  </w:num>
  <w:num w:numId="36" w16cid:durableId="1788960634">
    <w:abstractNumId w:val="7"/>
  </w:num>
  <w:num w:numId="37" w16cid:durableId="1881504940">
    <w:abstractNumId w:val="21"/>
  </w:num>
  <w:num w:numId="38" w16cid:durableId="908002776">
    <w:abstractNumId w:val="28"/>
  </w:num>
  <w:num w:numId="39" w16cid:durableId="282465939">
    <w:abstractNumId w:val="22"/>
  </w:num>
  <w:num w:numId="40" w16cid:durableId="61102052">
    <w:abstractNumId w:val="9"/>
  </w:num>
  <w:num w:numId="41" w16cid:durableId="154601733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219"/>
    <w:rsid w:val="00066A65"/>
    <w:rsid w:val="00067CF6"/>
    <w:rsid w:val="0007076E"/>
    <w:rsid w:val="000804B7"/>
    <w:rsid w:val="0009002D"/>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4A21"/>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456C"/>
    <w:rsid w:val="00175CEE"/>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B7D32"/>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30D5"/>
    <w:rsid w:val="00244C41"/>
    <w:rsid w:val="002534DA"/>
    <w:rsid w:val="00262C0C"/>
    <w:rsid w:val="00270658"/>
    <w:rsid w:val="0027286D"/>
    <w:rsid w:val="002767DA"/>
    <w:rsid w:val="002810DD"/>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0701D"/>
    <w:rsid w:val="003107A6"/>
    <w:rsid w:val="00310B49"/>
    <w:rsid w:val="003119A5"/>
    <w:rsid w:val="0031606D"/>
    <w:rsid w:val="00316D56"/>
    <w:rsid w:val="0031785B"/>
    <w:rsid w:val="00321637"/>
    <w:rsid w:val="0032746E"/>
    <w:rsid w:val="003312D7"/>
    <w:rsid w:val="00336F8A"/>
    <w:rsid w:val="003522C2"/>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015D"/>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6DDA"/>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24B5"/>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57307"/>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C7BEB"/>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212"/>
    <w:rsid w:val="00B95DE0"/>
    <w:rsid w:val="00BA65F2"/>
    <w:rsid w:val="00BB6959"/>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606C7"/>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27CB8"/>
    <w:rsid w:val="00D40290"/>
    <w:rsid w:val="00D43E57"/>
    <w:rsid w:val="00D44CF5"/>
    <w:rsid w:val="00D556D1"/>
    <w:rsid w:val="00D5621B"/>
    <w:rsid w:val="00D56E5E"/>
    <w:rsid w:val="00D63711"/>
    <w:rsid w:val="00D63745"/>
    <w:rsid w:val="00D64A38"/>
    <w:rsid w:val="00D655C4"/>
    <w:rsid w:val="00D71835"/>
    <w:rsid w:val="00D7245D"/>
    <w:rsid w:val="00D75E5B"/>
    <w:rsid w:val="00D8047A"/>
    <w:rsid w:val="00D81767"/>
    <w:rsid w:val="00D824B2"/>
    <w:rsid w:val="00D933C0"/>
    <w:rsid w:val="00D936BD"/>
    <w:rsid w:val="00D94E04"/>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06281"/>
    <w:rsid w:val="00E12251"/>
    <w:rsid w:val="00E150E5"/>
    <w:rsid w:val="00E15278"/>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C3A1F"/>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1DBE"/>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6663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2023-09-14T11:01:00Z</cp:lastPrinted>
  <dcterms:created xsi:type="dcterms:W3CDTF">2024-12-19T13:17:00Z</dcterms:created>
  <dcterms:modified xsi:type="dcterms:W3CDTF">2024-12-19T13:17:00Z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